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8E21E3" w:rsidP="00E155F0">
      <w:pPr>
        <w:pStyle w:val="Nagwek2"/>
      </w:pPr>
      <w:r w:rsidRPr="008E21E3">
        <w:t>Wypłaty refundacji składek na ubezpieczenia społeczne dla osób niepełnospraw</w:t>
      </w:r>
      <w:bookmarkStart w:id="0" w:name="_GoBack"/>
      <w:bookmarkEnd w:id="0"/>
      <w:r w:rsidRPr="008E21E3">
        <w:t>nych wykonujących działal</w:t>
      </w:r>
      <w:r w:rsidR="00B175AF">
        <w:t>ność gospodarczą w okresie 01.</w:t>
      </w:r>
      <w:r w:rsidR="00375206">
        <w:t>0</w:t>
      </w:r>
      <w:r w:rsidR="002D441F">
        <w:t>8</w:t>
      </w:r>
      <w:r w:rsidR="00B175AF">
        <w:t>.201</w:t>
      </w:r>
      <w:r w:rsidR="00E008E3">
        <w:t>8</w:t>
      </w:r>
      <w:r w:rsidR="00B175AF">
        <w:t xml:space="preserve"> r. – </w:t>
      </w:r>
      <w:r w:rsidR="000C1AFC">
        <w:t>31.0</w:t>
      </w:r>
      <w:r w:rsidR="002D441F">
        <w:t>8</w:t>
      </w:r>
      <w:r w:rsidRPr="008E21E3">
        <w:t>.201</w:t>
      </w:r>
      <w:r w:rsidR="00E008E3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166,14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482,58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101,76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101,76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321,64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321,64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1 546,35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1 546,35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326,86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326,86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366,92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366,92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963,92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963,92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479,49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479,49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lastRenderedPageBreak/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329,43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329,43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938,87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1 139,74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653,95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585,89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1 239,84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703,96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316,76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1 443,06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4 354,71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633,51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4 988,22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2 967,37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633,51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3 600,88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2 361,48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1 685,54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1 405,71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5 452,73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6 803,23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7 225,57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10 041,67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12 662,14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4 006,98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26 710,79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6 833,52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5 970,96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844,68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13 649,16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4 396,82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633,51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5 030,33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363,31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2 753,65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3 552,94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2 815,60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7 969,73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1 562,66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12 347,99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6 822,70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2 958,24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10 484,84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9 203,54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2 485,36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11 688,90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733,62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8 365,58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2 857,31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11 956,51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3 064,15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14 445,37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4 126,74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21 636,26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8 856,11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27 059,96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9 779,96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45 696,03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32 612,45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88 619,49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29 196,21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150 428,15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</w:tr>
      <w:tr w:rsidR="002D441F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467 300,28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1 831 528,98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681 212,89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3 346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2 980 042,15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8 652</w:t>
            </w:r>
          </w:p>
        </w:tc>
      </w:tr>
      <w:tr w:rsidR="002D441F" w:rsidRPr="00AF3553" w:rsidTr="002D441F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768 148,45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2 776 305,06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819 749,11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6 883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4 364 202,62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441F">
              <w:rPr>
                <w:rFonts w:ascii="Arial" w:hAnsi="Arial" w:cs="Arial"/>
                <w:sz w:val="16"/>
                <w:szCs w:val="16"/>
              </w:rPr>
              <w:t>12 022</w:t>
            </w:r>
          </w:p>
        </w:tc>
      </w:tr>
      <w:tr w:rsidR="002D441F" w:rsidRPr="00AF3553" w:rsidTr="002D441F">
        <w:trPr>
          <w:trHeight w:val="49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41F" w:rsidRPr="002D441F" w:rsidRDefault="002D441F" w:rsidP="002D44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41F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1 305 181,80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4 819 103,30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1 569 858,71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7 694 143,81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D441F" w:rsidRPr="002D441F" w:rsidRDefault="002D441F" w:rsidP="002D44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ze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31-0</w:t>
      </w:r>
      <w:r w:rsidR="002D441F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2D441F">
        <w:rPr>
          <w:rFonts w:ascii="Arial CE" w:eastAsia="Times New Roman" w:hAnsi="Arial CE" w:cs="Arial CE"/>
          <w:sz w:val="18"/>
          <w:szCs w:val="18"/>
          <w:lang w:eastAsia="pl-PL"/>
        </w:rPr>
        <w:t>sierpniu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C1AFC"/>
    <w:rsid w:val="000E55B9"/>
    <w:rsid w:val="000E58FF"/>
    <w:rsid w:val="00123CAE"/>
    <w:rsid w:val="001D559B"/>
    <w:rsid w:val="002A5C35"/>
    <w:rsid w:val="002D441F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68463A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E008E3"/>
    <w:rsid w:val="00E155F0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5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2019-01-07T09:09:00Z</dcterms:created>
  <dcterms:modified xsi:type="dcterms:W3CDTF">2019-01-25T10:41:00Z</dcterms:modified>
</cp:coreProperties>
</file>