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D6A26" w14:textId="01B53A26" w:rsidR="00B4480B" w:rsidRDefault="00B4480B" w:rsidP="00B4480B">
      <w:r>
        <w:t xml:space="preserve">Zapraszamy organizacje pozarządowe </w:t>
      </w:r>
      <w:r w:rsidR="0019298F">
        <w:t xml:space="preserve">oraz szkoły wyższe </w:t>
      </w:r>
      <w:r>
        <w:t>do udziału w konkursie numer 1/202</w:t>
      </w:r>
      <w:r w:rsidR="003A33F9">
        <w:t>4</w:t>
      </w:r>
      <w:r w:rsidR="000549EE" w:rsidRPr="000549EE">
        <w:t xml:space="preserve"> </w:t>
      </w:r>
      <w:r w:rsidR="000549EE">
        <w:t xml:space="preserve">ogłoszonym </w:t>
      </w:r>
      <w:r w:rsidR="000549EE" w:rsidRPr="00D12E32">
        <w:t>w ramach programu „ABSOLWENT II”</w:t>
      </w:r>
      <w:r>
        <w:t xml:space="preserve">. </w:t>
      </w:r>
      <w:r w:rsidR="000549EE">
        <w:t xml:space="preserve">Konkurs dotyczy wyłącznie </w:t>
      </w:r>
      <w:r w:rsidR="00F00274">
        <w:t xml:space="preserve">modułu II </w:t>
      </w:r>
      <w:r w:rsidR="007325C9">
        <w:t>p</w:t>
      </w:r>
      <w:r w:rsidR="003A33F9">
        <w:t>rogramu</w:t>
      </w:r>
      <w:r w:rsidR="000549EE">
        <w:t xml:space="preserve"> - </w:t>
      </w:r>
      <w:r w:rsidR="000549EE" w:rsidRPr="000549EE">
        <w:t>Wsparcie kształcenia i edukacji</w:t>
      </w:r>
      <w:r>
        <w:t>.</w:t>
      </w:r>
    </w:p>
    <w:p w14:paraId="50FBDD7A" w14:textId="77777777" w:rsidR="006413DA" w:rsidRDefault="006413DA" w:rsidP="00B4480B"/>
    <w:p w14:paraId="099E37D5" w14:textId="3145A012" w:rsidR="00B4480B" w:rsidRDefault="002E5E32" w:rsidP="00B4480B">
      <w:r w:rsidRPr="002E5E32">
        <w:t xml:space="preserve">Celem </w:t>
      </w:r>
      <w:r>
        <w:t xml:space="preserve">konkursu jest </w:t>
      </w:r>
      <w:r w:rsidRPr="002E5E32">
        <w:t>wsparcie realizacji ścieżki edukacyjnej absolwent</w:t>
      </w:r>
      <w:r>
        <w:t>ów</w:t>
      </w:r>
      <w:r w:rsidRPr="002E5E32">
        <w:t xml:space="preserve"> szkoły średniej lub </w:t>
      </w:r>
      <w:r>
        <w:t xml:space="preserve">osób </w:t>
      </w:r>
      <w:r w:rsidRPr="002E5E32">
        <w:t>realizują</w:t>
      </w:r>
      <w:r>
        <w:t>cych</w:t>
      </w:r>
      <w:r w:rsidRPr="002E5E32">
        <w:t xml:space="preserve"> naukę w szkole średniej w klasach III–V.</w:t>
      </w:r>
    </w:p>
    <w:p w14:paraId="3B6AA382" w14:textId="77777777" w:rsidR="002E5E32" w:rsidRDefault="002E5E32" w:rsidP="00B4480B"/>
    <w:p w14:paraId="15D09BF5" w14:textId="385D1076" w:rsidR="00B4480B" w:rsidRPr="00D22BB7" w:rsidRDefault="00B4480B" w:rsidP="00B4480B">
      <w:pPr>
        <w:rPr>
          <w:b/>
          <w:bCs/>
        </w:rPr>
      </w:pPr>
      <w:r w:rsidRPr="00D22BB7">
        <w:rPr>
          <w:b/>
          <w:bCs/>
        </w:rPr>
        <w:t>I. Podstawa prawna</w:t>
      </w:r>
      <w:r w:rsidR="00531F8A">
        <w:rPr>
          <w:b/>
          <w:bCs/>
        </w:rPr>
        <w:t>.</w:t>
      </w:r>
    </w:p>
    <w:p w14:paraId="47C6F406" w14:textId="31402EA1" w:rsidR="00B4480B" w:rsidRDefault="00B4480B" w:rsidP="00B4480B">
      <w:r>
        <w:t xml:space="preserve">Konkurs przeprowadzimy </w:t>
      </w:r>
      <w:r w:rsidR="007325C9">
        <w:t xml:space="preserve">na podstawie </w:t>
      </w:r>
      <w:r w:rsidR="0019298F">
        <w:t xml:space="preserve">z </w:t>
      </w:r>
      <w:r>
        <w:t>ustaw</w:t>
      </w:r>
      <w:r w:rsidR="007325C9">
        <w:t>y</w:t>
      </w:r>
      <w:r>
        <w:t xml:space="preserve"> z dnia 27 sierpnia 1997 roku o rehabilitacji zawodowej i społecznej oraz zatrudnianiu osób niepełnosprawnych</w:t>
      </w:r>
      <w:r w:rsidR="0019298F">
        <w:t xml:space="preserve"> oraz zgodnie </w:t>
      </w:r>
      <w:r w:rsidR="00A05179" w:rsidRPr="00A05179">
        <w:t>z trybem i na zasadach określonych</w:t>
      </w:r>
      <w:r w:rsidR="00A05179">
        <w:t xml:space="preserve"> w</w:t>
      </w:r>
      <w:r>
        <w:t xml:space="preserve"> Zasad</w:t>
      </w:r>
      <w:r w:rsidR="0019298F">
        <w:t>a</w:t>
      </w:r>
      <w:r w:rsidR="00A05179">
        <w:t>ch</w:t>
      </w:r>
      <w:r w:rsidR="00D22BB7">
        <w:t xml:space="preserve"> </w:t>
      </w:r>
      <w:r w:rsidR="003A33F9">
        <w:t xml:space="preserve">realizacji programu </w:t>
      </w:r>
      <w:r w:rsidR="006B7532">
        <w:t>„</w:t>
      </w:r>
      <w:r w:rsidR="003A33F9">
        <w:t>ABSOLWENT II”</w:t>
      </w:r>
      <w:r w:rsidR="0045006B">
        <w:t xml:space="preserve"> (link)</w:t>
      </w:r>
      <w:r w:rsidR="0033343A">
        <w:t>.</w:t>
      </w:r>
      <w:r w:rsidR="003A33F9">
        <w:t xml:space="preserve"> </w:t>
      </w:r>
    </w:p>
    <w:p w14:paraId="368C5329" w14:textId="77777777" w:rsidR="00B4480B" w:rsidRDefault="00B4480B" w:rsidP="00B4480B"/>
    <w:p w14:paraId="150075D0" w14:textId="52D90CF2" w:rsidR="007325C9" w:rsidRDefault="00B4480B" w:rsidP="000549EE">
      <w:pPr>
        <w:contextualSpacing w:val="0"/>
      </w:pPr>
      <w:r w:rsidRPr="00D22BB7">
        <w:rPr>
          <w:b/>
          <w:bCs/>
        </w:rPr>
        <w:t xml:space="preserve">II. </w:t>
      </w:r>
      <w:r w:rsidR="003A33F9" w:rsidRPr="00D22BB7">
        <w:rPr>
          <w:b/>
          <w:bCs/>
        </w:rPr>
        <w:t>Moduły i obszary</w:t>
      </w:r>
      <w:r w:rsidRPr="00D22BB7">
        <w:rPr>
          <w:b/>
          <w:bCs/>
        </w:rPr>
        <w:t xml:space="preserve"> pomocy</w:t>
      </w:r>
      <w:r w:rsidR="007325C9">
        <w:t xml:space="preserve"> </w:t>
      </w:r>
      <w:r w:rsidR="00940C68">
        <w:t>(r</w:t>
      </w:r>
      <w:r w:rsidR="007325C9">
        <w:t>odzaje zadań, których dotyczy konkurs</w:t>
      </w:r>
      <w:r w:rsidR="00940C68">
        <w:t>)</w:t>
      </w:r>
      <w:r w:rsidR="007325C9">
        <w:t>.</w:t>
      </w:r>
    </w:p>
    <w:p w14:paraId="4DEAC767" w14:textId="2C563C02" w:rsidR="003A33F9" w:rsidRPr="0023667C" w:rsidRDefault="00837665" w:rsidP="000549EE">
      <w:r>
        <w:t xml:space="preserve">1. </w:t>
      </w:r>
      <w:r w:rsidR="007325C9" w:rsidRPr="007325C9">
        <w:t>W ramach konkursu mogą być zgłaszane projekty dotyczące obszarów wsparci</w:t>
      </w:r>
      <w:r w:rsidR="007325C9">
        <w:t>a w ramach modułu II (</w:t>
      </w:r>
      <w:r w:rsidR="003A33F9" w:rsidRPr="0023667C">
        <w:t>Wsparcie kształcenia i edukacji</w:t>
      </w:r>
      <w:r w:rsidR="007325C9">
        <w:t>)</w:t>
      </w:r>
      <w:r w:rsidR="003A33F9" w:rsidRPr="0023667C">
        <w:t>:</w:t>
      </w:r>
    </w:p>
    <w:p w14:paraId="42F0A770" w14:textId="77777777" w:rsidR="003A33F9" w:rsidRPr="0023667C" w:rsidRDefault="003A33F9" w:rsidP="003A33F9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1) obszar E – ukończenie kursu przygotowującego do egzaminu maturalnego;</w:t>
      </w:r>
    </w:p>
    <w:p w14:paraId="2554588B" w14:textId="77777777" w:rsidR="003A33F9" w:rsidRPr="0023667C" w:rsidRDefault="003A33F9" w:rsidP="003A33F9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2) obszar F – ukończenie kursu przygotowującego do rekrutacji i podjęcia nauki</w:t>
      </w:r>
    </w:p>
    <w:p w14:paraId="2FD592B5" w14:textId="77777777" w:rsidR="003A33F9" w:rsidRPr="0023667C" w:rsidRDefault="003A33F9" w:rsidP="003A33F9">
      <w:pPr>
        <w:pStyle w:val="Tekstpodstawowy31"/>
        <w:ind w:left="380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w szkole wyższej;</w:t>
      </w:r>
    </w:p>
    <w:p w14:paraId="2F69E4CC" w14:textId="77777777" w:rsidR="003A33F9" w:rsidRDefault="003A33F9" w:rsidP="003A33F9">
      <w:pPr>
        <w:pStyle w:val="Tekstpodstawowy31"/>
        <w:ind w:left="380"/>
        <w:jc w:val="left"/>
        <w:rPr>
          <w:rFonts w:asciiTheme="minorHAnsi" w:hAnsiTheme="minorHAnsi" w:cstheme="minorHAnsi"/>
          <w:szCs w:val="24"/>
        </w:rPr>
      </w:pPr>
      <w:r w:rsidRPr="0023667C">
        <w:rPr>
          <w:rFonts w:asciiTheme="minorHAnsi" w:hAnsiTheme="minorHAnsi" w:cstheme="minorHAnsi"/>
          <w:szCs w:val="24"/>
        </w:rPr>
        <w:t>3) obszar G – podno</w:t>
      </w:r>
      <w:r>
        <w:rPr>
          <w:rFonts w:asciiTheme="minorHAnsi" w:hAnsiTheme="minorHAnsi" w:cstheme="minorHAnsi"/>
          <w:szCs w:val="24"/>
        </w:rPr>
        <w:t>szenie kompetencji społecznych.</w:t>
      </w:r>
    </w:p>
    <w:p w14:paraId="45752041" w14:textId="3DE43D75" w:rsidR="00D31F17" w:rsidRDefault="00837665" w:rsidP="00D31F17">
      <w:r>
        <w:t>2.</w:t>
      </w:r>
      <w:r w:rsidR="00913CC0">
        <w:t xml:space="preserve"> </w:t>
      </w:r>
      <w:r w:rsidR="00D31F17">
        <w:t>Dofinansowaniem ze środków przeznaczonych na realizację modułu II (wsparcie kształcenia i edukacji) mogą być objęte:</w:t>
      </w:r>
    </w:p>
    <w:p w14:paraId="39634564" w14:textId="58C8B665" w:rsidR="00D31F17" w:rsidRDefault="00D31F17" w:rsidP="00D22BB7">
      <w:pPr>
        <w:ind w:left="708" w:hanging="708"/>
      </w:pPr>
      <w:r>
        <w:t>1)</w:t>
      </w:r>
      <w:r>
        <w:tab/>
        <w:t>w ramach obszaru E – koszty kursu przygotowującego do egzaminu maturalnego (efektywne i całościowe przygotowanie do matury, obejmujące zarówno przedmioty na poziomie podstawowym, jak i rozszerzonym);</w:t>
      </w:r>
    </w:p>
    <w:p w14:paraId="3069D6C2" w14:textId="5311F170" w:rsidR="00D31F17" w:rsidRDefault="00D31F17" w:rsidP="00D22BB7">
      <w:pPr>
        <w:ind w:left="708" w:hanging="708"/>
      </w:pPr>
      <w:r>
        <w:t xml:space="preserve">2) </w:t>
      </w:r>
      <w:r>
        <w:tab/>
        <w:t>w ramach obszaru F – koszty kursu przygotowującego do rekrutacji i podjęcia nauki w szkole wyższej;</w:t>
      </w:r>
    </w:p>
    <w:p w14:paraId="009111F5" w14:textId="1D7F17C7" w:rsidR="003A33F9" w:rsidRDefault="00D31F17" w:rsidP="00D22BB7">
      <w:pPr>
        <w:ind w:left="708" w:hanging="708"/>
      </w:pPr>
      <w:r>
        <w:t xml:space="preserve">3) </w:t>
      </w:r>
      <w:r>
        <w:tab/>
        <w:t>w ramach obszaru G – koszty związane z podniesieniem kompetencji społecznych, w tym w szczególności koszt treningów umiejętności społecznych, koszt indywidualnych i grupowych zajęć podnoszących kompetencje społeczne.</w:t>
      </w:r>
    </w:p>
    <w:p w14:paraId="657F0FE2" w14:textId="77777777" w:rsidR="00D31F17" w:rsidRDefault="00D31F17" w:rsidP="00D31F17"/>
    <w:p w14:paraId="4032A519" w14:textId="114D81F3" w:rsidR="00D31F17" w:rsidRDefault="00D31F17" w:rsidP="00D31F17">
      <w:r>
        <w:t xml:space="preserve">W </w:t>
      </w:r>
      <w:r w:rsidRPr="00D31F17">
        <w:t>przypadku kursów i zajęć odbywających się poza miejscem zamieszkania – koszty dojazdu do miejsca kursu lub zajęć, koszty zakwaterowania i wyżywienia w okresie trwania wsparcia w ramach obszaru E, F, G.</w:t>
      </w:r>
    </w:p>
    <w:p w14:paraId="1FAFB162" w14:textId="696BAAE0" w:rsidR="00C571D7" w:rsidRDefault="00F01EEA" w:rsidP="00D31F17">
      <w:r w:rsidRPr="00F01EEA">
        <w:t xml:space="preserve">Osoby niepełnosprawne, będące uczestnikami </w:t>
      </w:r>
      <w:r>
        <w:t>projektów, o ile będzie taka konieczność</w:t>
      </w:r>
      <w:r w:rsidRPr="00F01EEA">
        <w:t xml:space="preserve"> mogą otrzymać ze środków programu </w:t>
      </w:r>
      <w:r w:rsidR="008B0661" w:rsidRPr="008B0661">
        <w:t>wsparci</w:t>
      </w:r>
      <w:r>
        <w:t>e</w:t>
      </w:r>
      <w:r w:rsidR="008B0661" w:rsidRPr="008B0661">
        <w:t xml:space="preserve"> asystenta samodzielności oraz </w:t>
      </w:r>
      <w:r>
        <w:t xml:space="preserve">wsparcie </w:t>
      </w:r>
      <w:r w:rsidR="008B0661" w:rsidRPr="008B0661">
        <w:t>tłumacza języka migowego.</w:t>
      </w:r>
    </w:p>
    <w:p w14:paraId="62874111" w14:textId="77777777" w:rsidR="00C571D7" w:rsidRDefault="00C571D7">
      <w:pPr>
        <w:contextualSpacing w:val="0"/>
      </w:pPr>
      <w:r>
        <w:br w:type="page"/>
      </w:r>
    </w:p>
    <w:p w14:paraId="290CE459" w14:textId="7CCF8E77" w:rsidR="003362A5" w:rsidRDefault="00B4480B" w:rsidP="00B4480B">
      <w:pPr>
        <w:rPr>
          <w:b/>
          <w:bCs/>
        </w:rPr>
      </w:pPr>
      <w:r w:rsidRPr="00D22BB7">
        <w:rPr>
          <w:b/>
          <w:bCs/>
        </w:rPr>
        <w:lastRenderedPageBreak/>
        <w:t xml:space="preserve">III. </w:t>
      </w:r>
      <w:r w:rsidR="003362A5" w:rsidRPr="003362A5">
        <w:rPr>
          <w:b/>
          <w:bCs/>
        </w:rPr>
        <w:t>Podmioty uprawnione do składania wniosków</w:t>
      </w:r>
      <w:r w:rsidR="003362A5">
        <w:rPr>
          <w:b/>
          <w:bCs/>
        </w:rPr>
        <w:t>.</w:t>
      </w:r>
    </w:p>
    <w:p w14:paraId="7EF87A8E" w14:textId="2F4E7CA6" w:rsidR="003362A5" w:rsidRPr="00913CC0" w:rsidRDefault="003362A5" w:rsidP="00913CC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913CC0">
        <w:rPr>
          <w:rFonts w:ascii="Calibri" w:hAnsi="Calibri" w:cs="Calibri"/>
          <w:lang w:eastAsia="ar-SA"/>
        </w:rPr>
        <w:t>Podmiotami uprawnionymi do składania wniosków w ramach konkursu są:</w:t>
      </w:r>
    </w:p>
    <w:p w14:paraId="1D829465" w14:textId="66C12120" w:rsidR="003362A5" w:rsidRPr="00E847F2" w:rsidRDefault="003362A5" w:rsidP="003362A5">
      <w:pPr>
        <w:numPr>
          <w:ilvl w:val="1"/>
          <w:numId w:val="30"/>
        </w:num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E847F2">
        <w:rPr>
          <w:rFonts w:ascii="Calibri" w:hAnsi="Calibri" w:cs="Calibri"/>
          <w:lang w:eastAsia="ar-SA"/>
        </w:rPr>
        <w:t>szkoły wyższe – publiczne lub niepubliczne szkoły wyższe utworzone zgodnie z ustawą z dnia 20 lipca 2018 r. Prawo o szkolnictwie wyższym i nauce a także szkoły wyższe i wyższe seminaria duchowne prowadzone przez Kościół Katolicki lub inne kościoły i związki wyznaniowe;</w:t>
      </w:r>
    </w:p>
    <w:p w14:paraId="3583B571" w14:textId="68DFD80D" w:rsidR="003362A5" w:rsidRDefault="003362A5" w:rsidP="003362A5">
      <w:pPr>
        <w:numPr>
          <w:ilvl w:val="1"/>
          <w:numId w:val="30"/>
        </w:num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E847F2">
        <w:rPr>
          <w:rFonts w:ascii="Calibri" w:hAnsi="Calibri" w:cs="Calibri"/>
        </w:rPr>
        <w:t>organizacje pozarządowe, o których mowa w art. 2 pkt 3 ustawy z dnia 27 sierpnia 1997</w:t>
      </w:r>
      <w:r>
        <w:rPr>
          <w:rFonts w:ascii="Calibri" w:hAnsi="Calibri" w:cs="Calibri"/>
        </w:rPr>
        <w:t xml:space="preserve"> </w:t>
      </w:r>
      <w:r w:rsidRPr="00E847F2">
        <w:rPr>
          <w:rFonts w:ascii="Calibri" w:hAnsi="Calibri" w:cs="Calibri"/>
        </w:rPr>
        <w:t>r. o</w:t>
      </w:r>
      <w:r>
        <w:rPr>
          <w:rFonts w:ascii="Calibri" w:hAnsi="Calibri" w:cs="Calibri"/>
        </w:rPr>
        <w:t xml:space="preserve"> </w:t>
      </w:r>
      <w:r w:rsidRPr="00E847F2">
        <w:rPr>
          <w:rFonts w:ascii="Calibri" w:hAnsi="Calibri" w:cs="Calibri"/>
        </w:rPr>
        <w:t>rehabilitacji zawodowej i społecznej oraz zatrudnianiu osób niepełnosprawnych</w:t>
      </w:r>
      <w:r>
        <w:rPr>
          <w:rFonts w:ascii="Calibri" w:hAnsi="Calibri" w:cs="Calibri"/>
        </w:rPr>
        <w:t>.</w:t>
      </w:r>
    </w:p>
    <w:p w14:paraId="22F5CDB0" w14:textId="10A24689" w:rsidR="00C571D7" w:rsidRPr="000549EE" w:rsidRDefault="00C571D7" w:rsidP="000549EE">
      <w:p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2.</w:t>
      </w:r>
      <w:r w:rsidR="00913CC0">
        <w:rPr>
          <w:rFonts w:ascii="Calibri" w:hAnsi="Calibri" w:cs="Calibri"/>
          <w:lang w:eastAsia="ar-SA"/>
        </w:rPr>
        <w:t xml:space="preserve"> </w:t>
      </w:r>
      <w:r w:rsidRPr="000549EE">
        <w:rPr>
          <w:rFonts w:ascii="Calibri" w:hAnsi="Calibri" w:cs="Calibri"/>
          <w:lang w:eastAsia="ar-SA"/>
        </w:rPr>
        <w:t>Warunkiem składania wniosków w ramach programu „ABSOLWENT”</w:t>
      </w:r>
      <w:r>
        <w:rPr>
          <w:rFonts w:ascii="Calibri" w:hAnsi="Calibri" w:cs="Calibri"/>
          <w:lang w:eastAsia="ar-SA"/>
        </w:rPr>
        <w:t xml:space="preserve"> przez podmioty wskazane w ust. 1</w:t>
      </w:r>
      <w:r w:rsidR="00C1193E">
        <w:rPr>
          <w:rFonts w:ascii="Calibri" w:hAnsi="Calibri" w:cs="Calibri"/>
          <w:lang w:eastAsia="ar-SA"/>
        </w:rPr>
        <w:t>.2</w:t>
      </w:r>
      <w:r>
        <w:rPr>
          <w:rFonts w:ascii="Calibri" w:hAnsi="Calibri" w:cs="Calibri"/>
          <w:lang w:eastAsia="ar-SA"/>
        </w:rPr>
        <w:t xml:space="preserve"> jest:</w:t>
      </w:r>
    </w:p>
    <w:p w14:paraId="4AE0A032" w14:textId="117F17A6" w:rsidR="00C571D7" w:rsidRPr="000549EE" w:rsidRDefault="00C571D7" w:rsidP="000549EE">
      <w:pPr>
        <w:suppressAutoHyphens/>
        <w:spacing w:before="60" w:after="60"/>
        <w:ind w:left="714" w:hanging="357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1)</w:t>
      </w:r>
      <w:r w:rsidRPr="000549EE">
        <w:rPr>
          <w:rFonts w:ascii="Calibri" w:hAnsi="Calibri" w:cs="Calibri"/>
          <w:lang w:eastAsia="ar-SA"/>
        </w:rPr>
        <w:tab/>
        <w:t>posiadanie statutowego zapisu o prowadzeniu działań na rzecz osób niepełnosprawnych</w:t>
      </w:r>
      <w:r w:rsidR="00C1193E">
        <w:rPr>
          <w:rFonts w:ascii="Calibri" w:hAnsi="Calibri" w:cs="Calibri"/>
          <w:lang w:eastAsia="ar-SA"/>
        </w:rPr>
        <w:t xml:space="preserve"> lub działań na rzecz</w:t>
      </w:r>
      <w:r w:rsidR="00AF2249" w:rsidRPr="00AF2249">
        <w:t xml:space="preserve"> </w:t>
      </w:r>
      <w:r w:rsidR="00AF2249">
        <w:t>nauki, szkolnictwa wyższego, edukacji, oświaty i wychowania</w:t>
      </w:r>
      <w:r w:rsidRPr="000549EE">
        <w:rPr>
          <w:rFonts w:ascii="Calibri" w:hAnsi="Calibri" w:cs="Calibri"/>
          <w:lang w:eastAsia="ar-SA"/>
        </w:rPr>
        <w:t>;</w:t>
      </w:r>
    </w:p>
    <w:p w14:paraId="2243B0A7" w14:textId="4D5BA2C4" w:rsidR="00C571D7" w:rsidRDefault="00C571D7" w:rsidP="000549EE">
      <w:pPr>
        <w:suppressAutoHyphens/>
        <w:spacing w:before="60" w:after="60"/>
        <w:ind w:left="708" w:hanging="351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2)</w:t>
      </w:r>
      <w:r w:rsidRPr="000549EE">
        <w:rPr>
          <w:rFonts w:ascii="Calibri" w:hAnsi="Calibri" w:cs="Calibri"/>
          <w:lang w:eastAsia="ar-SA"/>
        </w:rPr>
        <w:tab/>
        <w:t xml:space="preserve">prowadzenie działalności </w:t>
      </w:r>
      <w:r w:rsidRPr="00620C9B">
        <w:rPr>
          <w:rFonts w:ascii="Calibri" w:hAnsi="Calibri" w:cs="Calibri"/>
          <w:lang w:eastAsia="ar-SA"/>
        </w:rPr>
        <w:t xml:space="preserve">przez okres co najmniej </w:t>
      </w:r>
      <w:r w:rsidR="00A422C8">
        <w:rPr>
          <w:rFonts w:ascii="Calibri" w:hAnsi="Calibri" w:cs="Calibri"/>
          <w:lang w:eastAsia="ar-SA"/>
        </w:rPr>
        <w:t>12</w:t>
      </w:r>
      <w:r w:rsidR="00A422C8" w:rsidRPr="00620C9B">
        <w:rPr>
          <w:rFonts w:ascii="Calibri" w:hAnsi="Calibri" w:cs="Calibri"/>
          <w:lang w:eastAsia="ar-SA"/>
        </w:rPr>
        <w:t xml:space="preserve"> </w:t>
      </w:r>
      <w:r w:rsidR="00620C9B" w:rsidRPr="00620C9B">
        <w:rPr>
          <w:rFonts w:ascii="Calibri" w:hAnsi="Calibri" w:cs="Calibri"/>
          <w:lang w:eastAsia="ar-SA"/>
        </w:rPr>
        <w:t xml:space="preserve">miesięcy </w:t>
      </w:r>
      <w:r w:rsidRPr="00620C9B">
        <w:rPr>
          <w:rFonts w:ascii="Calibri" w:hAnsi="Calibri" w:cs="Calibri"/>
          <w:lang w:eastAsia="ar-SA"/>
        </w:rPr>
        <w:t>(licząc wstecz od daty ogłoszenia konkursu),</w:t>
      </w:r>
      <w:r w:rsidRPr="000549EE">
        <w:rPr>
          <w:rFonts w:ascii="Calibri" w:hAnsi="Calibri" w:cs="Calibri"/>
          <w:lang w:eastAsia="ar-SA"/>
        </w:rPr>
        <w:t xml:space="preserve"> z zastrzeżeniem, iż w przypadku wniosku wspólnego złożonego przez m.in. dwie lub więcej organizacje pozarządowe ww. warunki weryfikowane są w odniesieniu do każdego </w:t>
      </w:r>
      <w:r w:rsidRPr="00C571D7">
        <w:rPr>
          <w:rFonts w:ascii="Calibri" w:hAnsi="Calibri" w:cs="Calibri"/>
          <w:lang w:eastAsia="ar-SA"/>
        </w:rPr>
        <w:t>z Wnioskodawców.</w:t>
      </w:r>
    </w:p>
    <w:p w14:paraId="4698C2BE" w14:textId="4F801C1C" w:rsidR="009D0566" w:rsidRPr="00C571D7" w:rsidRDefault="009D0566" w:rsidP="009D0566">
      <w:pPr>
        <w:suppressAutoHyphens/>
        <w:spacing w:before="60" w:after="60"/>
        <w:ind w:left="708"/>
        <w:contextualSpacing w:val="0"/>
        <w:rPr>
          <w:rFonts w:ascii="Calibri" w:hAnsi="Calibri" w:cs="Calibri"/>
          <w:lang w:eastAsia="ar-SA"/>
        </w:rPr>
      </w:pPr>
      <w:r w:rsidRPr="009D0566">
        <w:rPr>
          <w:rFonts w:ascii="Calibri" w:hAnsi="Calibri" w:cs="Calibri"/>
          <w:lang w:eastAsia="ar-SA"/>
        </w:rPr>
        <w:t>Jeżeli Twoja organizacja realizuje działania przez okres</w:t>
      </w:r>
      <w:r>
        <w:rPr>
          <w:rFonts w:ascii="Calibri" w:hAnsi="Calibri" w:cs="Calibri"/>
          <w:lang w:eastAsia="ar-SA"/>
        </w:rPr>
        <w:t xml:space="preserve"> </w:t>
      </w:r>
      <w:r w:rsidRPr="009D0566">
        <w:rPr>
          <w:rFonts w:ascii="Calibri" w:hAnsi="Calibri" w:cs="Calibri"/>
          <w:lang w:eastAsia="ar-SA"/>
        </w:rPr>
        <w:t xml:space="preserve">krótszy niż </w:t>
      </w:r>
      <w:r w:rsidR="00A422C8">
        <w:rPr>
          <w:rFonts w:ascii="Calibri" w:hAnsi="Calibri" w:cs="Calibri"/>
          <w:lang w:eastAsia="ar-SA"/>
        </w:rPr>
        <w:t>12</w:t>
      </w:r>
      <w:r w:rsidR="00A422C8" w:rsidRPr="009D0566">
        <w:rPr>
          <w:rFonts w:ascii="Calibri" w:hAnsi="Calibri" w:cs="Calibri"/>
          <w:lang w:eastAsia="ar-SA"/>
        </w:rPr>
        <w:t xml:space="preserve"> </w:t>
      </w:r>
      <w:r w:rsidRPr="009D0566">
        <w:rPr>
          <w:rFonts w:ascii="Calibri" w:hAnsi="Calibri" w:cs="Calibri"/>
          <w:lang w:eastAsia="ar-SA"/>
        </w:rPr>
        <w:t>miesięcy, możesz ubiegać się o dofinansowanie w konkursie wyłącznie w ramach wniosku wspólnego</w:t>
      </w:r>
      <w:r>
        <w:rPr>
          <w:rFonts w:ascii="Calibri" w:hAnsi="Calibri" w:cs="Calibri"/>
          <w:lang w:eastAsia="ar-SA"/>
        </w:rPr>
        <w:t>.</w:t>
      </w:r>
    </w:p>
    <w:p w14:paraId="60DABBCC" w14:textId="2A21A48F" w:rsidR="00C571D7" w:rsidRPr="000549EE" w:rsidRDefault="00C571D7" w:rsidP="000549EE">
      <w:p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3.</w:t>
      </w:r>
      <w:r w:rsidR="00913CC0">
        <w:rPr>
          <w:rFonts w:ascii="Calibri" w:hAnsi="Calibri" w:cs="Calibri"/>
          <w:lang w:eastAsia="ar-SA"/>
        </w:rPr>
        <w:t xml:space="preserve"> </w:t>
      </w:r>
      <w:r w:rsidRPr="000549EE">
        <w:rPr>
          <w:rFonts w:ascii="Calibri" w:hAnsi="Calibri" w:cs="Calibri"/>
          <w:lang w:eastAsia="ar-SA"/>
        </w:rPr>
        <w:t>W przypadku terenowych jednostek organizacyjnych organizacji pozarządowej, które</w:t>
      </w:r>
      <w:r>
        <w:rPr>
          <w:rFonts w:ascii="Calibri" w:hAnsi="Calibri" w:cs="Calibri"/>
          <w:lang w:eastAsia="ar-SA"/>
        </w:rPr>
        <w:t xml:space="preserve"> </w:t>
      </w:r>
      <w:r w:rsidRPr="000549EE">
        <w:rPr>
          <w:rFonts w:ascii="Calibri" w:hAnsi="Calibri" w:cs="Calibri"/>
          <w:lang w:eastAsia="ar-SA"/>
        </w:rPr>
        <w:t>nie posiadają osobowości prawnej (np. koła, oddziały), Wnioskodawcą jest zarząd główny tej organizacji. Zarząd główny organizacji pozarządowej nie może występować w imieniu terenowych jednostek organizacyjnych tej organizacji, które posiadają osobowość prawną.</w:t>
      </w:r>
    </w:p>
    <w:p w14:paraId="42637DB7" w14:textId="34207DD7" w:rsidR="00C571D7" w:rsidRPr="000549EE" w:rsidRDefault="00913CC0" w:rsidP="00913CC0">
      <w:pPr>
        <w:pStyle w:val="Akapitzlist"/>
        <w:numPr>
          <w:ilvl w:val="0"/>
          <w:numId w:val="0"/>
        </w:num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4. </w:t>
      </w:r>
      <w:r w:rsidR="00C571D7" w:rsidRPr="000549EE">
        <w:rPr>
          <w:rFonts w:ascii="Calibri" w:hAnsi="Calibri" w:cs="Calibri"/>
          <w:lang w:eastAsia="ar-SA"/>
        </w:rPr>
        <w:t>Podmioty wskazane w ust. 1 mogą złożyć wniosek wspólny. Na etapie składania wniosku Wnioskodawców, którzy składają wniosek wspólny, musi wiązać Umowa określająca zakres świadczeń Wnioskodawców składających się na realizację projektu. W przedmiotowej umowie musi zostać wskazany Wnioskodawca Lider.</w:t>
      </w:r>
    </w:p>
    <w:p w14:paraId="49E949EF" w14:textId="7AFB60AD" w:rsidR="00C571D7" w:rsidRPr="00C571D7" w:rsidRDefault="00C571D7" w:rsidP="000549EE">
      <w:p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5.</w:t>
      </w:r>
      <w:r w:rsidR="00913CC0">
        <w:rPr>
          <w:rFonts w:ascii="Calibri" w:hAnsi="Calibri" w:cs="Calibri"/>
          <w:lang w:eastAsia="ar-SA"/>
        </w:rPr>
        <w:t xml:space="preserve"> </w:t>
      </w:r>
      <w:r w:rsidRPr="000549EE">
        <w:rPr>
          <w:rFonts w:ascii="Calibri" w:hAnsi="Calibri" w:cs="Calibri"/>
          <w:lang w:eastAsia="ar-SA"/>
        </w:rPr>
        <w:t xml:space="preserve">Warunkiem uczestnictwa w programie, w tym warunkiem uzyskania pomocy finansowej </w:t>
      </w:r>
      <w:r w:rsidRPr="00C571D7">
        <w:rPr>
          <w:rFonts w:ascii="Calibri" w:hAnsi="Calibri" w:cs="Calibri"/>
          <w:lang w:eastAsia="ar-SA"/>
        </w:rPr>
        <w:t>w ramach programu, jest nieposiadanie wymagalnych zobowiązań wobec:</w:t>
      </w:r>
    </w:p>
    <w:p w14:paraId="15C63882" w14:textId="77777777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1)</w:t>
      </w:r>
      <w:r w:rsidRPr="00C571D7">
        <w:rPr>
          <w:rFonts w:ascii="Calibri" w:hAnsi="Calibri" w:cs="Calibri"/>
          <w:lang w:eastAsia="ar-SA"/>
        </w:rPr>
        <w:tab/>
        <w:t>PFRON, w tym nieposiadanie zaległości w obowiązkowych wpłatach na PFRON;</w:t>
      </w:r>
    </w:p>
    <w:p w14:paraId="70728F2B" w14:textId="77777777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2)</w:t>
      </w:r>
      <w:r w:rsidRPr="00C571D7">
        <w:rPr>
          <w:rFonts w:ascii="Calibri" w:hAnsi="Calibri" w:cs="Calibri"/>
          <w:lang w:eastAsia="ar-SA"/>
        </w:rPr>
        <w:tab/>
        <w:t>Zakładu Ubezpieczeń Społecznych i/lub Urzędu Skarbowego;</w:t>
      </w:r>
    </w:p>
    <w:p w14:paraId="75EB4A72" w14:textId="77777777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3)</w:t>
      </w:r>
      <w:r w:rsidRPr="00C571D7">
        <w:rPr>
          <w:rFonts w:ascii="Calibri" w:hAnsi="Calibri" w:cs="Calibri"/>
          <w:lang w:eastAsia="ar-SA"/>
        </w:rPr>
        <w:tab/>
        <w:t xml:space="preserve">innych organów i instytucji wykonujących zadania z zakresu administracji publicznej, </w:t>
      </w:r>
    </w:p>
    <w:p w14:paraId="5E93F1EC" w14:textId="77777777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w tym wobec jednostek samorządu terytorialnego.</w:t>
      </w:r>
    </w:p>
    <w:p w14:paraId="6DCF0E1B" w14:textId="02D911E8" w:rsidR="00C571D7" w:rsidRPr="00C571D7" w:rsidRDefault="00C571D7" w:rsidP="0046582B">
      <w:p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6.</w:t>
      </w:r>
      <w:r w:rsidR="00913CC0">
        <w:rPr>
          <w:rFonts w:ascii="Calibri" w:hAnsi="Calibri" w:cs="Calibri"/>
          <w:lang w:eastAsia="ar-SA"/>
        </w:rPr>
        <w:t xml:space="preserve"> </w:t>
      </w:r>
      <w:r w:rsidRPr="000549EE">
        <w:rPr>
          <w:rFonts w:ascii="Calibri" w:hAnsi="Calibri" w:cs="Calibri"/>
          <w:lang w:eastAsia="ar-SA"/>
        </w:rPr>
        <w:t xml:space="preserve">Warunek, o którym mowa w ust. 5, w przypadku wniosku wspólnego, dotyczy każdego </w:t>
      </w:r>
      <w:r w:rsidRPr="00C571D7">
        <w:rPr>
          <w:rFonts w:ascii="Calibri" w:hAnsi="Calibri" w:cs="Calibri"/>
          <w:lang w:eastAsia="ar-SA"/>
        </w:rPr>
        <w:t>z Wnioskodawców.</w:t>
      </w:r>
    </w:p>
    <w:p w14:paraId="3B5D1C51" w14:textId="34DF4EB6" w:rsidR="00C571D7" w:rsidRPr="000549EE" w:rsidRDefault="00C571D7" w:rsidP="000549EE">
      <w:pPr>
        <w:suppressAutoHyphens/>
        <w:spacing w:before="60" w:after="60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t>7.</w:t>
      </w:r>
      <w:r w:rsidR="00913CC0">
        <w:rPr>
          <w:rFonts w:ascii="Calibri" w:hAnsi="Calibri" w:cs="Calibri"/>
          <w:lang w:eastAsia="ar-SA"/>
        </w:rPr>
        <w:t xml:space="preserve"> </w:t>
      </w:r>
      <w:r w:rsidRPr="000549EE">
        <w:rPr>
          <w:rFonts w:ascii="Calibri" w:hAnsi="Calibri" w:cs="Calibri"/>
          <w:lang w:eastAsia="ar-SA"/>
        </w:rPr>
        <w:t>Z udziału w konkursie wykluczone są podmioty:</w:t>
      </w:r>
    </w:p>
    <w:p w14:paraId="6668E868" w14:textId="47C4EE79" w:rsidR="00C571D7" w:rsidRPr="000549EE" w:rsidRDefault="00C571D7" w:rsidP="000549EE">
      <w:pPr>
        <w:suppressAutoHyphens/>
        <w:spacing w:before="60" w:after="60"/>
        <w:ind w:left="714" w:hanging="357"/>
        <w:contextualSpacing w:val="0"/>
        <w:rPr>
          <w:rFonts w:ascii="Calibri" w:hAnsi="Calibri" w:cs="Calibri"/>
          <w:lang w:eastAsia="ar-SA"/>
        </w:rPr>
      </w:pPr>
      <w:r w:rsidRPr="000549EE">
        <w:rPr>
          <w:rFonts w:ascii="Calibri" w:hAnsi="Calibri" w:cs="Calibri"/>
          <w:lang w:eastAsia="ar-SA"/>
        </w:rPr>
        <w:lastRenderedPageBreak/>
        <w:t>1)</w:t>
      </w:r>
      <w:r w:rsidRPr="000549EE">
        <w:rPr>
          <w:rFonts w:ascii="Calibri" w:hAnsi="Calibri" w:cs="Calibri"/>
          <w:lang w:eastAsia="ar-SA"/>
        </w:rPr>
        <w:tab/>
        <w:t>w związku z działalnością których, lub działalnością podmiotów z nimi powiązanych, wszczęte zostało postępowanie przygotowawcze na warunkach i zasadach określonych w kodeksie postępowania karnego;</w:t>
      </w:r>
    </w:p>
    <w:p w14:paraId="61A8D84A" w14:textId="77777777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2)</w:t>
      </w:r>
      <w:r w:rsidRPr="00C571D7">
        <w:rPr>
          <w:rFonts w:ascii="Calibri" w:hAnsi="Calibri" w:cs="Calibri"/>
          <w:lang w:eastAsia="ar-SA"/>
        </w:rPr>
        <w:tab/>
        <w:t>które w przeszłości, były stroną umowy zawartej z PFRON i rozwiązanej z przyczyn leżących po ich stronie – wykluczenie obowiązuje w ciągu 3 lat, licząc od dnia, w którym wygasło zobowiązanie wobec PFRON;</w:t>
      </w:r>
    </w:p>
    <w:p w14:paraId="257E680D" w14:textId="5931C820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3)</w:t>
      </w:r>
      <w:r w:rsidRPr="00C571D7">
        <w:rPr>
          <w:rFonts w:ascii="Calibri" w:hAnsi="Calibri" w:cs="Calibri"/>
          <w:lang w:eastAsia="ar-SA"/>
        </w:rPr>
        <w:tab/>
        <w:t>w których funkcje członków zarządu lub organów uprawnionych do reprezentowania organizacji pełnią osoby, które zostały skazane prawomocnym wyrokiem za przestępstwa ścigane z oskarżenia publicznego lub przestępstwa skarbowe;</w:t>
      </w:r>
    </w:p>
    <w:p w14:paraId="7D6A740A" w14:textId="77777777" w:rsidR="00C571D7" w:rsidRPr="00C571D7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4)</w:t>
      </w:r>
      <w:r w:rsidRPr="00C571D7">
        <w:rPr>
          <w:rFonts w:ascii="Calibri" w:hAnsi="Calibri" w:cs="Calibri"/>
          <w:lang w:eastAsia="ar-SA"/>
        </w:rPr>
        <w:tab/>
        <w:t xml:space="preserve">które w okresie ostatnich 3 lat (licząc od daty ogłoszenia konkursu) nierzetelnie wykonywały zobowiązania wynikające z umów zawartych z PFRON (w tym nierzetelnie </w:t>
      </w:r>
    </w:p>
    <w:p w14:paraId="36264FDC" w14:textId="77F2A21C" w:rsidR="003362A5" w:rsidRPr="000549EE" w:rsidRDefault="00C571D7" w:rsidP="000549EE">
      <w:pPr>
        <w:pStyle w:val="Akapitzlist"/>
        <w:numPr>
          <w:ilvl w:val="0"/>
          <w:numId w:val="0"/>
        </w:numPr>
        <w:suppressAutoHyphens/>
        <w:spacing w:before="60" w:after="60"/>
        <w:ind w:left="425"/>
        <w:contextualSpacing w:val="0"/>
        <w:rPr>
          <w:rFonts w:ascii="Calibri" w:hAnsi="Calibri" w:cs="Calibri"/>
          <w:lang w:eastAsia="ar-SA"/>
        </w:rPr>
      </w:pPr>
      <w:r w:rsidRPr="00C571D7">
        <w:rPr>
          <w:rFonts w:ascii="Calibri" w:hAnsi="Calibri" w:cs="Calibri"/>
          <w:lang w:eastAsia="ar-SA"/>
        </w:rPr>
        <w:t>i nieterminowo rozliczały środki PFRON).</w:t>
      </w:r>
    </w:p>
    <w:p w14:paraId="4EFDF102" w14:textId="77777777" w:rsidR="003362A5" w:rsidRDefault="003362A5" w:rsidP="00B4480B">
      <w:pPr>
        <w:rPr>
          <w:b/>
          <w:bCs/>
        </w:rPr>
      </w:pPr>
    </w:p>
    <w:p w14:paraId="7659A4B1" w14:textId="00CB499B" w:rsidR="00B4480B" w:rsidRPr="00D22BB7" w:rsidRDefault="003362A5" w:rsidP="00B4480B">
      <w:pPr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</w:r>
      <w:r w:rsidR="00B4480B" w:rsidRPr="00D22BB7">
        <w:rPr>
          <w:b/>
          <w:bCs/>
        </w:rPr>
        <w:t>Warunki projektów</w:t>
      </w:r>
      <w:r w:rsidRPr="003362A5">
        <w:rPr>
          <w:b/>
          <w:bCs/>
        </w:rPr>
        <w:t xml:space="preserve"> zgłaszanych w konkursie</w:t>
      </w:r>
    </w:p>
    <w:p w14:paraId="4EE3B85B" w14:textId="3D43A696" w:rsidR="006A0BB7" w:rsidRDefault="00913CC0" w:rsidP="0050490B">
      <w:r>
        <w:t xml:space="preserve">1. </w:t>
      </w:r>
      <w:r w:rsidR="007325C9">
        <w:t>Ł</w:t>
      </w:r>
      <w:r w:rsidR="006A0BB7">
        <w:t xml:space="preserve">ączna wysokość dofinansowania ze środków PFRON nie może </w:t>
      </w:r>
      <w:r w:rsidR="003362A5">
        <w:t>przekroczyć ramach modułu II</w:t>
      </w:r>
      <w:r w:rsidR="003362A5" w:rsidRPr="003362A5">
        <w:t xml:space="preserve"> </w:t>
      </w:r>
      <w:r w:rsidR="006A0BB7">
        <w:t>kwoty 25.000 zł na jednego beneficjenta ostatecznego. Wskazana maksymalna kwota dofinansowania odnosi się do całego okresu udziału beneficjenta ostatecznego w</w:t>
      </w:r>
      <w:r w:rsidR="00BA61CC">
        <w:t xml:space="preserve"> projekcie</w:t>
      </w:r>
      <w:r w:rsidR="003362A5">
        <w:t>.</w:t>
      </w:r>
    </w:p>
    <w:p w14:paraId="480D3674" w14:textId="152C8259" w:rsidR="0046582B" w:rsidRDefault="0050490B" w:rsidP="0050490B">
      <w:pPr>
        <w:pStyle w:val="Akapitzlist"/>
        <w:numPr>
          <w:ilvl w:val="0"/>
          <w:numId w:val="0"/>
        </w:numPr>
        <w:ind w:left="1"/>
      </w:pPr>
      <w:r>
        <w:t xml:space="preserve">2. </w:t>
      </w:r>
      <w:r w:rsidR="006A0BB7">
        <w:t xml:space="preserve">Do powyższego </w:t>
      </w:r>
      <w:bookmarkStart w:id="0" w:name="_Hlk163133616"/>
      <w:r w:rsidR="006A0BB7">
        <w:t xml:space="preserve">limitu nie wlicza się kosztów </w:t>
      </w:r>
      <w:r w:rsidR="006A0BB7" w:rsidRPr="006A0BB7">
        <w:t>wsparci</w:t>
      </w:r>
      <w:r w:rsidR="003362A5">
        <w:t>a</w:t>
      </w:r>
      <w:r w:rsidR="006A0BB7" w:rsidRPr="006A0BB7">
        <w:t xml:space="preserve"> asystenta samodzielności</w:t>
      </w:r>
      <w:r w:rsidR="00D22BB7">
        <w:t xml:space="preserve"> oraz </w:t>
      </w:r>
      <w:r w:rsidR="003362A5">
        <w:t xml:space="preserve">kosztów </w:t>
      </w:r>
      <w:r w:rsidR="00D22BB7">
        <w:t>tłumacza języka migowego.</w:t>
      </w:r>
      <w:bookmarkEnd w:id="0"/>
    </w:p>
    <w:p w14:paraId="5A41F5D2" w14:textId="77777777" w:rsidR="0050490B" w:rsidRDefault="0046582B" w:rsidP="00913CC0">
      <w:pPr>
        <w:pStyle w:val="Akapitzlist"/>
        <w:numPr>
          <w:ilvl w:val="0"/>
          <w:numId w:val="36"/>
        </w:numPr>
        <w:ind w:left="714" w:hanging="5"/>
      </w:pPr>
      <w:r>
        <w:t>koszty udziału tłumacza języka migowego nie mogą przekroczyć 6000 zł na beneficjenta ostatecznego;</w:t>
      </w:r>
    </w:p>
    <w:p w14:paraId="38EDE113" w14:textId="77777777" w:rsidR="0050490B" w:rsidRDefault="0046582B" w:rsidP="00913CC0">
      <w:pPr>
        <w:pStyle w:val="Akapitzlist"/>
        <w:numPr>
          <w:ilvl w:val="0"/>
          <w:numId w:val="36"/>
        </w:numPr>
        <w:ind w:left="714" w:hanging="5"/>
      </w:pPr>
      <w:r>
        <w:t>koszty udziału asystenta samodzielności nie mogą przekroczyć  5000 zł na beneficjenta ostatecznego;</w:t>
      </w:r>
    </w:p>
    <w:p w14:paraId="5B7A1284" w14:textId="3F300CFD" w:rsidR="006A0BB7" w:rsidRDefault="0050490B" w:rsidP="0050490B">
      <w:r>
        <w:t xml:space="preserve">3. </w:t>
      </w:r>
      <w:r w:rsidR="006A0BB7">
        <w:t>Ten sam beneficjent ostateczny nie może być objęty tymi samymi działaniami aktywizacyjnymi w ramach innych zadań lub projektów finansowanych ze środków PFRON realizowanych w tym samym czasie (w tym za pośrednictwem samorządu województwa lub samorządu powiatowego).</w:t>
      </w:r>
    </w:p>
    <w:p w14:paraId="77E13DCD" w14:textId="77777777" w:rsidR="0046582B" w:rsidRDefault="0046582B" w:rsidP="002061AC"/>
    <w:p w14:paraId="3F84F211" w14:textId="7418D646" w:rsidR="00AF2249" w:rsidRDefault="00AF2249" w:rsidP="002061AC">
      <w:r>
        <w:t>Uwaga</w:t>
      </w:r>
      <w:r w:rsidR="002061AC">
        <w:t>!</w:t>
      </w:r>
      <w:r>
        <w:t xml:space="preserve"> zwróć uwagę by realnie ocenić możliwości rekrutacji beneficjentów ostatecznych do projektu. </w:t>
      </w:r>
    </w:p>
    <w:p w14:paraId="436B5AA9" w14:textId="77777777" w:rsidR="006A0BB7" w:rsidRDefault="006A0BB7" w:rsidP="00B4480B"/>
    <w:p w14:paraId="30342D4B" w14:textId="1C28D02E" w:rsidR="00B4480B" w:rsidRDefault="00B4480B" w:rsidP="00B4480B">
      <w:r>
        <w:t xml:space="preserve">Uwaga! Szczegółowe warunki realizacji projektów określiliśmy w Regulaminie składania, rozpatrywania i realizacji projektów w ramach </w:t>
      </w:r>
      <w:r w:rsidR="00B93E73">
        <w:t xml:space="preserve">programu </w:t>
      </w:r>
      <w:r w:rsidR="006B7532">
        <w:t>„</w:t>
      </w:r>
      <w:r w:rsidR="00B93E73">
        <w:t>ABSOLWENT II</w:t>
      </w:r>
      <w:r>
        <w:t xml:space="preserve">”. Regulamin jest załącznikiem do Zasad </w:t>
      </w:r>
      <w:r w:rsidR="00B93E73">
        <w:t xml:space="preserve">realizacji programu </w:t>
      </w:r>
      <w:r w:rsidR="006B7532">
        <w:t>„</w:t>
      </w:r>
      <w:r w:rsidR="00B93E73">
        <w:t>ABSOLWENT II</w:t>
      </w:r>
      <w:r>
        <w:t>”</w:t>
      </w:r>
      <w:r w:rsidR="000F6C61">
        <w:t xml:space="preserve"> (link)</w:t>
      </w:r>
      <w:r>
        <w:t>.</w:t>
      </w:r>
    </w:p>
    <w:p w14:paraId="5CBA6C43" w14:textId="77777777" w:rsidR="00B4480B" w:rsidRDefault="00B4480B" w:rsidP="00B4480B"/>
    <w:p w14:paraId="76D83442" w14:textId="1EE1BF5B" w:rsidR="00B4480B" w:rsidRPr="00D22BB7" w:rsidRDefault="00B4480B" w:rsidP="00B4480B">
      <w:pPr>
        <w:rPr>
          <w:b/>
          <w:bCs/>
        </w:rPr>
      </w:pPr>
      <w:r w:rsidRPr="00D22BB7">
        <w:rPr>
          <w:b/>
          <w:bCs/>
        </w:rPr>
        <w:t>V. Wkład własny</w:t>
      </w:r>
      <w:r w:rsidR="00531F8A">
        <w:rPr>
          <w:b/>
          <w:bCs/>
        </w:rPr>
        <w:t>.</w:t>
      </w:r>
    </w:p>
    <w:p w14:paraId="6AE0C9E0" w14:textId="48FAA569" w:rsidR="00913CC0" w:rsidRDefault="00837665" w:rsidP="00913CC0">
      <w:r>
        <w:t>1.</w:t>
      </w:r>
      <w:r w:rsidR="00913CC0">
        <w:t xml:space="preserve"> </w:t>
      </w:r>
      <w:r w:rsidR="00B4480B">
        <w:t xml:space="preserve">We wniosku musisz zadeklarować wkład własny. Minimalna procentowa wysokość wkładu własnego </w:t>
      </w:r>
      <w:r w:rsidR="00B93E73">
        <w:t xml:space="preserve">w Module II </w:t>
      </w:r>
      <w:r w:rsidR="00B4480B">
        <w:t xml:space="preserve">wynosi </w:t>
      </w:r>
      <w:r w:rsidR="00C1193E">
        <w:t xml:space="preserve">10 </w:t>
      </w:r>
      <w:r w:rsidR="00B93E73">
        <w:t xml:space="preserve">% </w:t>
      </w:r>
      <w:r w:rsidR="00B4480B">
        <w:t>kosztów kwalifikowalnych poniesionych w ramach projektu.</w:t>
      </w:r>
    </w:p>
    <w:p w14:paraId="4161E42E" w14:textId="4CBE0FAF" w:rsidR="00B4480B" w:rsidRDefault="00B4480B" w:rsidP="00913CC0">
      <w:pPr>
        <w:pStyle w:val="Akapitzlist"/>
        <w:numPr>
          <w:ilvl w:val="0"/>
          <w:numId w:val="30"/>
        </w:numPr>
      </w:pPr>
      <w:r>
        <w:lastRenderedPageBreak/>
        <w:t>Jeżeli wnosisz do projektu wkład</w:t>
      </w:r>
      <w:r w:rsidR="0033343A">
        <w:t xml:space="preserve"> własny</w:t>
      </w:r>
      <w:r>
        <w:t xml:space="preserve"> osobowy (świadczenie wolontariusza) – pamiętaj, że </w:t>
      </w:r>
      <w:r w:rsidR="0033343A">
        <w:t xml:space="preserve">wyceniania </w:t>
      </w:r>
      <w:r>
        <w:t>wartość</w:t>
      </w:r>
      <w:r w:rsidR="0033343A">
        <w:t xml:space="preserve"> godziny</w:t>
      </w:r>
      <w:r>
        <w:t xml:space="preserve"> pracy wolontariusza nie może przekroczyć kwoty </w:t>
      </w:r>
      <w:r w:rsidR="00D22BB7">
        <w:t>30,0</w:t>
      </w:r>
      <w:r w:rsidR="00531F8A">
        <w:t>0</w:t>
      </w:r>
      <w:r w:rsidR="00D22BB7">
        <w:t xml:space="preserve"> zł</w:t>
      </w:r>
      <w:r>
        <w:t>otych.</w:t>
      </w:r>
    </w:p>
    <w:p w14:paraId="1B11E2EF" w14:textId="77777777" w:rsidR="0050490B" w:rsidRDefault="0050490B" w:rsidP="0050490B">
      <w:pPr>
        <w:pStyle w:val="Akapitzlist"/>
        <w:numPr>
          <w:ilvl w:val="0"/>
          <w:numId w:val="0"/>
        </w:numPr>
        <w:ind w:left="425"/>
      </w:pPr>
    </w:p>
    <w:p w14:paraId="320ECFCD" w14:textId="3ADDF90D" w:rsidR="00C71034" w:rsidRPr="00FD040C" w:rsidRDefault="00C71034" w:rsidP="00C71034">
      <w:pPr>
        <w:contextualSpacing w:val="0"/>
        <w:rPr>
          <w:b/>
          <w:bCs/>
        </w:rPr>
      </w:pPr>
      <w:r w:rsidRPr="00FD040C">
        <w:rPr>
          <w:b/>
          <w:bCs/>
        </w:rPr>
        <w:t>VI.</w:t>
      </w:r>
      <w:r w:rsidRPr="00FD040C">
        <w:rPr>
          <w:b/>
          <w:bCs/>
        </w:rPr>
        <w:tab/>
      </w:r>
      <w:r w:rsidR="0046582B">
        <w:rPr>
          <w:b/>
          <w:bCs/>
        </w:rPr>
        <w:t>Wskaźniki</w:t>
      </w:r>
    </w:p>
    <w:p w14:paraId="585D5DAF" w14:textId="444E4976" w:rsidR="009F003D" w:rsidRDefault="00C71034" w:rsidP="009F003D">
      <w:r>
        <w:t>1.</w:t>
      </w:r>
      <w:r w:rsidR="0050490B">
        <w:t xml:space="preserve"> </w:t>
      </w:r>
      <w:r w:rsidR="009F003D">
        <w:t>Dla konkursu przyjmuje się następującą konstrukcję wskaźników:</w:t>
      </w:r>
    </w:p>
    <w:p w14:paraId="10DFD7D9" w14:textId="398D9C38" w:rsidR="009F003D" w:rsidRDefault="009F003D" w:rsidP="00913CC0">
      <w:pPr>
        <w:pStyle w:val="Akapitzlist"/>
        <w:numPr>
          <w:ilvl w:val="1"/>
          <w:numId w:val="37"/>
        </w:numPr>
      </w:pPr>
      <w:r>
        <w:t>wskaźnik produktu - liczba beneficjentów ostatecznych projektu objętych wsparciem,</w:t>
      </w:r>
    </w:p>
    <w:p w14:paraId="766E4636" w14:textId="68709D0B" w:rsidR="009F003D" w:rsidRDefault="009F003D" w:rsidP="00913CC0">
      <w:pPr>
        <w:pStyle w:val="Akapitzlist"/>
        <w:numPr>
          <w:ilvl w:val="1"/>
          <w:numId w:val="37"/>
        </w:numPr>
      </w:pPr>
      <w:r>
        <w:t>wskaźnik rezultatu - liczba beneficjentów ostatecznych którzy, podejmą naukę w szkole wyższej, w tym w szkołach policealnych.</w:t>
      </w:r>
    </w:p>
    <w:p w14:paraId="1EEBD962" w14:textId="77777777" w:rsidR="0050490B" w:rsidRDefault="009F003D" w:rsidP="009F003D">
      <w:pPr>
        <w:jc w:val="both"/>
      </w:pPr>
      <w:r>
        <w:t>2.</w:t>
      </w:r>
      <w:r w:rsidR="0050490B">
        <w:t xml:space="preserve"> </w:t>
      </w:r>
      <w:r w:rsidR="00C71034">
        <w:t xml:space="preserve">Projekty zgłaszane w ramach konkursu muszą zakładać osiągnięcie wskaźnika </w:t>
      </w:r>
      <w:r w:rsidR="00E16512">
        <w:t>rezultatu</w:t>
      </w:r>
      <w:r w:rsidR="00E16512" w:rsidRPr="00E16512">
        <w:t xml:space="preserve"> </w:t>
      </w:r>
      <w:r w:rsidR="00E16512">
        <w:t>(</w:t>
      </w:r>
      <w:r w:rsidR="00E16512" w:rsidRPr="00E16512">
        <w:t>liczba beneficjentów ostatecznych którzy, podejmą naukę w szkole wyższej</w:t>
      </w:r>
      <w:r w:rsidR="00E16512">
        <w:t xml:space="preserve">) </w:t>
      </w:r>
      <w:r w:rsidR="00E16512" w:rsidRPr="00E16512">
        <w:t xml:space="preserve">co najmniej </w:t>
      </w:r>
      <w:r w:rsidR="007D3F52">
        <w:t xml:space="preserve">na poziomie </w:t>
      </w:r>
      <w:r w:rsidR="00E16512" w:rsidRPr="00E16512">
        <w:t xml:space="preserve">60% beneficjentów ostatecznych. </w:t>
      </w:r>
    </w:p>
    <w:p w14:paraId="3856C196" w14:textId="58FF5825" w:rsidR="00C71034" w:rsidRDefault="009F003D" w:rsidP="009F003D">
      <w:pPr>
        <w:jc w:val="both"/>
      </w:pPr>
      <w:r>
        <w:t>3</w:t>
      </w:r>
      <w:r w:rsidR="0046582B">
        <w:t xml:space="preserve">. </w:t>
      </w:r>
      <w:r w:rsidR="00C71034">
        <w:t xml:space="preserve">Wskazany powyżej procentowy wskaźnik </w:t>
      </w:r>
      <w:r w:rsidR="007D3F52">
        <w:t>monitorowany jest na bieżąco</w:t>
      </w:r>
      <w:r w:rsidR="00C1193E">
        <w:t>,</w:t>
      </w:r>
      <w:r w:rsidR="007D3F52">
        <w:t xml:space="preserve"> a </w:t>
      </w:r>
      <w:r w:rsidR="00C71034">
        <w:t xml:space="preserve">badany jest nie później niż przed upływem okresu </w:t>
      </w:r>
      <w:r w:rsidR="00BC1434">
        <w:t xml:space="preserve">12 </w:t>
      </w:r>
      <w:r w:rsidR="00C71034">
        <w:t xml:space="preserve">miesięcy od daty zakończenia projektu. </w:t>
      </w:r>
    </w:p>
    <w:p w14:paraId="6A45D493" w14:textId="56E57196" w:rsidR="001566FF" w:rsidRDefault="009F003D" w:rsidP="009F003D">
      <w:pPr>
        <w:jc w:val="both"/>
      </w:pPr>
      <w:r>
        <w:t>4</w:t>
      </w:r>
      <w:r w:rsidR="0046582B">
        <w:t xml:space="preserve">. </w:t>
      </w:r>
      <w:r w:rsidR="00C71034">
        <w:t xml:space="preserve">Na podstawie </w:t>
      </w:r>
      <w:r w:rsidR="00C1193E">
        <w:t xml:space="preserve">decyzji Pełnomocników PFRON </w:t>
      </w:r>
      <w:r w:rsidR="00C71034">
        <w:t xml:space="preserve">Wnioskodawca może otrzymać ze środków PFRON </w:t>
      </w:r>
      <w:r w:rsidR="007D3F52" w:rsidRPr="007D3F52">
        <w:t xml:space="preserve">zwrot wkładu </w:t>
      </w:r>
      <w:r w:rsidR="00FD040C">
        <w:t xml:space="preserve">własnego </w:t>
      </w:r>
      <w:r w:rsidR="007D3F52">
        <w:t xml:space="preserve">wniesionego </w:t>
      </w:r>
      <w:r w:rsidR="00C71034">
        <w:t>w ramach realizacji projektu</w:t>
      </w:r>
      <w:r w:rsidR="001566FF">
        <w:t xml:space="preserve"> w przypadku osiągnięcia </w:t>
      </w:r>
      <w:r w:rsidR="001566FF" w:rsidRPr="001566FF">
        <w:t>wskaźnika rezultatu</w:t>
      </w:r>
      <w:r w:rsidR="001566FF">
        <w:t xml:space="preserve"> co najmniej na poziomie </w:t>
      </w:r>
      <w:r>
        <w:t xml:space="preserve">wyższym niż </w:t>
      </w:r>
      <w:r w:rsidR="001566FF">
        <w:t>wskazany w ust</w:t>
      </w:r>
      <w:r w:rsidR="007D3F52">
        <w:t>.</w:t>
      </w:r>
      <w:r w:rsidR="001566FF">
        <w:t xml:space="preserve"> 1.</w:t>
      </w:r>
    </w:p>
    <w:p w14:paraId="192815B5" w14:textId="3B4361C8" w:rsidR="00C71034" w:rsidRDefault="009F003D" w:rsidP="009F003D">
      <w:pPr>
        <w:jc w:val="both"/>
      </w:pPr>
      <w:r>
        <w:t>5</w:t>
      </w:r>
      <w:r w:rsidR="0046582B">
        <w:t xml:space="preserve">. </w:t>
      </w:r>
      <w:r w:rsidR="00C71034">
        <w:t xml:space="preserve">Spełnienie warunków uprawniających do zwrotu wniesionego, w ramach realizacji projektu, wkładu finansowego ze źródeł niepublicznych weryfikowane jest przez PFRON </w:t>
      </w:r>
      <w:r w:rsidR="007D3F52" w:rsidRPr="007D3F52">
        <w:t>nie później niż przed upływem okresu 6 miesięcy od daty zakończenia projektu</w:t>
      </w:r>
      <w:r w:rsidR="007D3F52">
        <w:t>.</w:t>
      </w:r>
    </w:p>
    <w:p w14:paraId="637B9FA9" w14:textId="77777777" w:rsidR="00B4480B" w:rsidRDefault="00B4480B" w:rsidP="00B4480B"/>
    <w:p w14:paraId="6C6D02C9" w14:textId="61B912F4" w:rsidR="00B4480B" w:rsidRPr="00D22BB7" w:rsidRDefault="00B4480B" w:rsidP="00B4480B">
      <w:pPr>
        <w:rPr>
          <w:b/>
          <w:bCs/>
        </w:rPr>
      </w:pPr>
      <w:r w:rsidRPr="00D22BB7">
        <w:rPr>
          <w:b/>
          <w:bCs/>
        </w:rPr>
        <w:t>V</w:t>
      </w:r>
      <w:r w:rsidR="00837665">
        <w:rPr>
          <w:b/>
          <w:bCs/>
        </w:rPr>
        <w:t>II</w:t>
      </w:r>
      <w:r w:rsidRPr="00D22BB7">
        <w:rPr>
          <w:b/>
          <w:bCs/>
        </w:rPr>
        <w:t xml:space="preserve">. </w:t>
      </w:r>
      <w:r w:rsidR="008247A4">
        <w:rPr>
          <w:b/>
          <w:bCs/>
        </w:rPr>
        <w:t xml:space="preserve">Kiedy i </w:t>
      </w:r>
      <w:r w:rsidRPr="00D22BB7">
        <w:rPr>
          <w:b/>
          <w:bCs/>
        </w:rPr>
        <w:t>Jak złożyć wniosek</w:t>
      </w:r>
      <w:r w:rsidR="00531F8A">
        <w:rPr>
          <w:b/>
          <w:bCs/>
        </w:rPr>
        <w:t>.</w:t>
      </w:r>
    </w:p>
    <w:p w14:paraId="08C971E4" w14:textId="79A934F4" w:rsidR="000D29E6" w:rsidRDefault="008247A4" w:rsidP="009F003D">
      <w:r>
        <w:t>1.</w:t>
      </w:r>
      <w:r w:rsidR="0050490B">
        <w:t xml:space="preserve"> </w:t>
      </w:r>
      <w:r w:rsidR="00B4480B">
        <w:t xml:space="preserve">Wniosek o </w:t>
      </w:r>
      <w:r w:rsidR="00B93E73">
        <w:t>dofinansowanie</w:t>
      </w:r>
      <w:r w:rsidR="00B4480B">
        <w:t xml:space="preserve"> musisz złożyć </w:t>
      </w:r>
      <w:r w:rsidR="007418A1">
        <w:t>w systemie epuap</w:t>
      </w:r>
      <w:r w:rsidR="00531F8A">
        <w:t xml:space="preserve"> </w:t>
      </w:r>
      <w:r w:rsidR="00F2644A" w:rsidRPr="00F2644A">
        <w:t>w formie dokumentu elektronicznego podpisanego przez osoby upoważnione przy użyciu kwalifikowanego podpisu elektronicznego lub podpisu zaufanego (czyli podpisu złożonego przy wykorzystaniu Profilu Zaufanego na platformie ePUAP)</w:t>
      </w:r>
      <w:r w:rsidR="00F2644A">
        <w:t>.</w:t>
      </w:r>
      <w:r w:rsidR="000D29E6" w:rsidRPr="000D29E6">
        <w:t xml:space="preserve"> </w:t>
      </w:r>
    </w:p>
    <w:p w14:paraId="022D661E" w14:textId="77777777" w:rsidR="002061AC" w:rsidRDefault="002061AC" w:rsidP="00B4480B"/>
    <w:p w14:paraId="238CBFB4" w14:textId="18369CE3" w:rsidR="000D29E6" w:rsidRDefault="008247A4" w:rsidP="00B4480B">
      <w:r>
        <w:t xml:space="preserve">Uwaga! </w:t>
      </w:r>
      <w:r w:rsidR="000D29E6" w:rsidRPr="000D29E6">
        <w:t>Nie składaj papierowej wersji wniosku tylko prześlij go w systemie epuap.</w:t>
      </w:r>
    </w:p>
    <w:p w14:paraId="76879E33" w14:textId="77777777" w:rsidR="00B4480B" w:rsidRDefault="00B4480B" w:rsidP="00B4480B"/>
    <w:p w14:paraId="4BCCF154" w14:textId="352D4C03" w:rsidR="00B4480B" w:rsidRDefault="0050490B" w:rsidP="0050490B">
      <w:r>
        <w:t xml:space="preserve">2. </w:t>
      </w:r>
      <w:r w:rsidR="00B4480B">
        <w:t xml:space="preserve">Wniosek możesz złożyć </w:t>
      </w:r>
      <w:r w:rsidR="008247A4">
        <w:t xml:space="preserve">w terminie </w:t>
      </w:r>
      <w:r w:rsidR="00B4480B">
        <w:t xml:space="preserve">od </w:t>
      </w:r>
      <w:r w:rsidR="00C3496A">
        <w:t xml:space="preserve">dnia </w:t>
      </w:r>
      <w:r w:rsidR="0003566A">
        <w:t xml:space="preserve">…………… </w:t>
      </w:r>
      <w:r w:rsidR="00B4480B">
        <w:t>202</w:t>
      </w:r>
      <w:r w:rsidR="007418A1">
        <w:t>4</w:t>
      </w:r>
      <w:r w:rsidR="00B4480B">
        <w:t xml:space="preserve"> roku, do </w:t>
      </w:r>
      <w:r w:rsidR="00C3496A">
        <w:t xml:space="preserve">dnia </w:t>
      </w:r>
      <w:r w:rsidR="0003566A">
        <w:t xml:space="preserve">…………… </w:t>
      </w:r>
      <w:r w:rsidR="00D22BB7">
        <w:t>2</w:t>
      </w:r>
      <w:r w:rsidR="007418A1">
        <w:t xml:space="preserve">024 </w:t>
      </w:r>
      <w:r w:rsidR="00B4480B">
        <w:t>roku</w:t>
      </w:r>
      <w:r w:rsidR="007418A1">
        <w:t>.</w:t>
      </w:r>
      <w:r w:rsidR="00B4480B">
        <w:t xml:space="preserve"> Po tym terminie nie będzie możliwości złożenia wniosku.</w:t>
      </w:r>
    </w:p>
    <w:p w14:paraId="42D2A6AF" w14:textId="14C11AAB" w:rsidR="00B4480B" w:rsidRDefault="00B4480B" w:rsidP="00913CC0">
      <w:pPr>
        <w:pStyle w:val="Akapitzlist"/>
        <w:numPr>
          <w:ilvl w:val="0"/>
          <w:numId w:val="30"/>
        </w:numPr>
      </w:pPr>
      <w:r>
        <w:t xml:space="preserve">Za datę złożenia wniosku uznamy </w:t>
      </w:r>
      <w:r w:rsidR="00F2644A" w:rsidRPr="00F2644A">
        <w:t xml:space="preserve">datę jego wpłynięcia do Biura PFRON (decyduje </w:t>
      </w:r>
      <w:r w:rsidR="00D22BB7">
        <w:t>data złożenia</w:t>
      </w:r>
      <w:r>
        <w:t xml:space="preserve"> wniosku w systemie </w:t>
      </w:r>
      <w:r w:rsidR="007418A1">
        <w:t>epuap</w:t>
      </w:r>
      <w:r w:rsidR="00F2644A">
        <w:t>)</w:t>
      </w:r>
      <w:r w:rsidR="00D22BB7">
        <w:t>.</w:t>
      </w:r>
    </w:p>
    <w:p w14:paraId="08735657" w14:textId="395844F1" w:rsidR="0011709F" w:rsidRDefault="0011709F" w:rsidP="00913CC0">
      <w:pPr>
        <w:pStyle w:val="Akapitzlist"/>
        <w:numPr>
          <w:ilvl w:val="0"/>
          <w:numId w:val="30"/>
        </w:numPr>
      </w:pPr>
      <w:r>
        <w:t xml:space="preserve">Uprawniony podmiot może złożyć w ramach niniejszego konkursu jeden wniosek. </w:t>
      </w:r>
    </w:p>
    <w:p w14:paraId="5E967B08" w14:textId="77777777" w:rsidR="00C1193E" w:rsidRDefault="0011709F" w:rsidP="0011709F">
      <w:r>
        <w:t>W jednym wniosku może być zgłoszony jeden projekt.</w:t>
      </w:r>
      <w:r w:rsidR="00E005C5">
        <w:t xml:space="preserve"> </w:t>
      </w:r>
    </w:p>
    <w:p w14:paraId="4288467C" w14:textId="7A9C708B" w:rsidR="000D29E6" w:rsidRDefault="00E005C5" w:rsidP="0011709F">
      <w:r>
        <w:t>W projekcie</w:t>
      </w:r>
      <w:r w:rsidR="0011709F">
        <w:t xml:space="preserve"> </w:t>
      </w:r>
      <w:r>
        <w:t>Obszary E;F;G można dowolnie łączyć.</w:t>
      </w:r>
    </w:p>
    <w:p w14:paraId="5C61BED5" w14:textId="1AA145C1" w:rsidR="000D29E6" w:rsidRDefault="00D22BB7" w:rsidP="0011709F">
      <w:r>
        <w:t xml:space="preserve">Nie możesz </w:t>
      </w:r>
      <w:r w:rsidR="008247A4">
        <w:t xml:space="preserve">jednak </w:t>
      </w:r>
      <w:r>
        <w:t>złożyć wniosku</w:t>
      </w:r>
      <w:r w:rsidR="00E005C5">
        <w:t xml:space="preserve"> dotyczącego realizacji wyłącznie </w:t>
      </w:r>
      <w:r>
        <w:t>obszar</w:t>
      </w:r>
      <w:r w:rsidR="00E005C5">
        <w:t>u</w:t>
      </w:r>
      <w:r>
        <w:t xml:space="preserve"> </w:t>
      </w:r>
      <w:r w:rsidR="00710E42">
        <w:t>G.</w:t>
      </w:r>
    </w:p>
    <w:p w14:paraId="4BC4062C" w14:textId="767AB43F" w:rsidR="0011709F" w:rsidRDefault="0011709F" w:rsidP="0011709F">
      <w:r>
        <w:lastRenderedPageBreak/>
        <w:t>Złożenie wniosku wspólnego powoduje wyczerpanie limitu jednego wniosku dla każdego z Wnioskodawców, który zostanie wskazany we wniosku wspólnym.</w:t>
      </w:r>
    </w:p>
    <w:p w14:paraId="4EB03FEB" w14:textId="77777777" w:rsidR="000D29E6" w:rsidRDefault="000D29E6" w:rsidP="0011709F"/>
    <w:p w14:paraId="5926519F" w14:textId="35D978EF" w:rsidR="0011709F" w:rsidRDefault="000D29E6" w:rsidP="00913CC0">
      <w:pPr>
        <w:pStyle w:val="Akapitzlist"/>
        <w:numPr>
          <w:ilvl w:val="0"/>
          <w:numId w:val="30"/>
        </w:numPr>
      </w:pPr>
      <w:r>
        <w:t>P</w:t>
      </w:r>
      <w:r w:rsidR="0011709F">
        <w:t>odanie przez wnioskodawcę nieprawdziwych informacji wyklucza wniosek z dalszego rozpatrywania</w:t>
      </w:r>
      <w:r>
        <w:t>.</w:t>
      </w:r>
    </w:p>
    <w:p w14:paraId="5EFFFA11" w14:textId="2874A03C" w:rsidR="00B4480B" w:rsidRPr="00710E42" w:rsidRDefault="00B4480B" w:rsidP="00B4480B">
      <w:pPr>
        <w:contextualSpacing w:val="0"/>
        <w:rPr>
          <w:b/>
          <w:bCs/>
        </w:rPr>
      </w:pPr>
      <w:r w:rsidRPr="00710E42">
        <w:rPr>
          <w:b/>
          <w:bCs/>
        </w:rPr>
        <w:t>VI</w:t>
      </w:r>
      <w:r w:rsidR="00837665">
        <w:rPr>
          <w:b/>
          <w:bCs/>
        </w:rPr>
        <w:t>II</w:t>
      </w:r>
      <w:r w:rsidRPr="00710E42">
        <w:rPr>
          <w:b/>
          <w:bCs/>
        </w:rPr>
        <w:t xml:space="preserve">. Termin realizacji projektów. </w:t>
      </w:r>
    </w:p>
    <w:p w14:paraId="4BDC22EE" w14:textId="48D88E74" w:rsidR="002D4F3B" w:rsidRDefault="00573B20" w:rsidP="002D4F3B">
      <w:r>
        <w:t>1.</w:t>
      </w:r>
      <w:r w:rsidR="0050490B">
        <w:t xml:space="preserve"> </w:t>
      </w:r>
      <w:r w:rsidR="00B4480B">
        <w:t xml:space="preserve">Konkurs dotyczy projektów realizowanych od dnia </w:t>
      </w:r>
      <w:bookmarkStart w:id="1" w:name="_Hlk164414446"/>
      <w:r w:rsidR="00B4480B">
        <w:t xml:space="preserve">1 </w:t>
      </w:r>
      <w:r w:rsidR="005D2CEA">
        <w:t xml:space="preserve">lipca </w:t>
      </w:r>
      <w:r w:rsidR="00B4480B">
        <w:t>2024 roku do dnia 3</w:t>
      </w:r>
      <w:r w:rsidR="00710E42">
        <w:t>0 czerwca 2</w:t>
      </w:r>
      <w:r w:rsidR="00B4480B">
        <w:t>02</w:t>
      </w:r>
      <w:r w:rsidR="00710E42">
        <w:t>7</w:t>
      </w:r>
      <w:r w:rsidR="00B4480B">
        <w:t xml:space="preserve"> roku</w:t>
      </w:r>
      <w:bookmarkEnd w:id="1"/>
      <w:r w:rsidR="00B4480B">
        <w:t>.</w:t>
      </w:r>
    </w:p>
    <w:p w14:paraId="5ECCC050" w14:textId="77777777" w:rsidR="00C1193E" w:rsidRDefault="00C1193E" w:rsidP="002D4F3B"/>
    <w:p w14:paraId="4A6D469D" w14:textId="4E0F4847" w:rsidR="003E1C3F" w:rsidRDefault="002061AC" w:rsidP="002D4F3B">
      <w:r>
        <w:t xml:space="preserve">Uwaga! </w:t>
      </w:r>
      <w:r w:rsidR="00C1193E">
        <w:t>Możesz złożyć wniosek obejmujący co najmniej okres roczny</w:t>
      </w:r>
      <w:r w:rsidR="000416EA">
        <w:t xml:space="preserve"> albo projekty wieloletnie np.</w:t>
      </w:r>
      <w:r w:rsidR="00C1193E">
        <w:t>.</w:t>
      </w:r>
      <w:r w:rsidR="009F003D">
        <w:t xml:space="preserve"> Pojęcie „projekty wieloletnie” użyte w dokumentacji oznacza projekty dłuższe niż jednoroczne</w:t>
      </w:r>
      <w:r w:rsidR="003E1C3F">
        <w:t xml:space="preserve"> realizowane w okresie:</w:t>
      </w:r>
    </w:p>
    <w:p w14:paraId="5733637F" w14:textId="77777777" w:rsidR="003E1C3F" w:rsidRDefault="003E1C3F" w:rsidP="00913CC0">
      <w:pPr>
        <w:pStyle w:val="Akapitzlist"/>
        <w:numPr>
          <w:ilvl w:val="2"/>
          <w:numId w:val="30"/>
        </w:numPr>
      </w:pPr>
      <w:r w:rsidRPr="003E1C3F">
        <w:t>1 lipca 2024 roku do dnia 30 czerwca 202</w:t>
      </w:r>
      <w:r>
        <w:t>6</w:t>
      </w:r>
      <w:r w:rsidRPr="003E1C3F">
        <w:t xml:space="preserve"> roku</w:t>
      </w:r>
    </w:p>
    <w:p w14:paraId="2F0C2163" w14:textId="59C1181B" w:rsidR="003E1C3F" w:rsidRDefault="003E1C3F" w:rsidP="003E1C3F">
      <w:pPr>
        <w:pStyle w:val="Akapitzlist"/>
        <w:numPr>
          <w:ilvl w:val="0"/>
          <w:numId w:val="0"/>
        </w:numPr>
        <w:ind w:left="1276"/>
      </w:pPr>
      <w:r>
        <w:t>albo</w:t>
      </w:r>
    </w:p>
    <w:p w14:paraId="259657B4" w14:textId="64EE21C8" w:rsidR="00C1193E" w:rsidRDefault="003E1C3F" w:rsidP="00913CC0">
      <w:pPr>
        <w:pStyle w:val="Akapitzlist"/>
        <w:numPr>
          <w:ilvl w:val="2"/>
          <w:numId w:val="30"/>
        </w:numPr>
      </w:pPr>
      <w:r>
        <w:t xml:space="preserve">1 lipca 2024 roku do dnia 30 czerwca 2027 roku </w:t>
      </w:r>
      <w:r w:rsidR="009F003D">
        <w:t>.</w:t>
      </w:r>
    </w:p>
    <w:p w14:paraId="38AAB488" w14:textId="77777777" w:rsidR="00C1193E" w:rsidRDefault="00C1193E" w:rsidP="002D4F3B"/>
    <w:p w14:paraId="6E97C41D" w14:textId="512FFA86" w:rsidR="00B4480B" w:rsidRDefault="002D4F3B" w:rsidP="002D4F3B">
      <w:r>
        <w:t xml:space="preserve">2. </w:t>
      </w:r>
      <w:r w:rsidR="00B4480B">
        <w:t xml:space="preserve">Za kwalifikowalne uznamy koszty, które Twoja organizacja poniesie od daty rozpoczęcia realizacji projektu </w:t>
      </w:r>
      <w:r w:rsidR="008B0D86">
        <w:t xml:space="preserve">ale nie wcześniej niż od dnia 1 lipca 2024 roku </w:t>
      </w:r>
      <w:r w:rsidR="00B4480B">
        <w:t>do daty zakończenia realizacji projektu</w:t>
      </w:r>
      <w:r w:rsidR="008B0D86">
        <w:t xml:space="preserve"> ale nie później niż do dnia </w:t>
      </w:r>
      <w:r w:rsidR="00710E42">
        <w:t>30 czerwca 2027 roku</w:t>
      </w:r>
      <w:r w:rsidR="00B4480B">
        <w:t>.</w:t>
      </w:r>
    </w:p>
    <w:p w14:paraId="4F4B7895" w14:textId="77777777" w:rsidR="00B4480B" w:rsidRDefault="00B4480B" w:rsidP="00B4480B"/>
    <w:p w14:paraId="329EA1AA" w14:textId="77840553" w:rsidR="00B4480B" w:rsidRDefault="002061AC" w:rsidP="00B4480B">
      <w:r>
        <w:t xml:space="preserve">Uwaga! </w:t>
      </w:r>
      <w:r w:rsidR="00B4480B">
        <w:t>We wniosku musisz zamieścić informacje dotyczące całego okresu realizacji projektu</w:t>
      </w:r>
      <w:r w:rsidR="0063263A">
        <w:t>.</w:t>
      </w:r>
    </w:p>
    <w:p w14:paraId="03B89915" w14:textId="0ADC05B4" w:rsidR="00A05179" w:rsidRDefault="00A05179" w:rsidP="00B4480B"/>
    <w:p w14:paraId="7F8839E1" w14:textId="1EAB67AE" w:rsidR="00B4480B" w:rsidRPr="00B74E82" w:rsidRDefault="00837665" w:rsidP="00B4480B">
      <w:pPr>
        <w:rPr>
          <w:b/>
          <w:bCs/>
        </w:rPr>
      </w:pPr>
      <w:r>
        <w:rPr>
          <w:b/>
          <w:bCs/>
        </w:rPr>
        <w:t>IX</w:t>
      </w:r>
      <w:r w:rsidR="00B4480B" w:rsidRPr="00B74E82">
        <w:rPr>
          <w:b/>
          <w:bCs/>
        </w:rPr>
        <w:t>. Wybór wniosków.</w:t>
      </w:r>
    </w:p>
    <w:p w14:paraId="28215B8F" w14:textId="3E26CA81" w:rsidR="00B4480B" w:rsidRDefault="00837665" w:rsidP="00B4480B">
      <w:r>
        <w:t xml:space="preserve">1. </w:t>
      </w:r>
      <w:r w:rsidR="00B4480B">
        <w:t xml:space="preserve">Ocenę formalną wniosków przeprowadzimy w terminie </w:t>
      </w:r>
      <w:r w:rsidR="0063263A">
        <w:t>10</w:t>
      </w:r>
      <w:r w:rsidR="00B4480B">
        <w:t xml:space="preserve"> dni roboczych od daty zamknięcia konkursu.</w:t>
      </w:r>
    </w:p>
    <w:p w14:paraId="22C2494E" w14:textId="77777777" w:rsidR="00B4480B" w:rsidRDefault="00B4480B" w:rsidP="00B4480B"/>
    <w:p w14:paraId="1282EC56" w14:textId="0742C9A3" w:rsidR="00B4480B" w:rsidRDefault="00837665" w:rsidP="00B4480B">
      <w:r>
        <w:t xml:space="preserve">2. </w:t>
      </w:r>
      <w:r w:rsidR="00B4480B">
        <w:t xml:space="preserve">Wnioski ocenione formalnie pozytywnie przekażemy do oceny merytorycznej. Ocenę merytoryczną przeprowadzi komisja konkursowa w terminie </w:t>
      </w:r>
      <w:r w:rsidR="00BC1434">
        <w:t xml:space="preserve">15 </w:t>
      </w:r>
      <w:r w:rsidR="00B4480B">
        <w:t>dni roboczych od dnia, w którym opublikujemy wyniki oceny formalnej na stronie internetowej PFRON (www.pfron.org.pl).</w:t>
      </w:r>
    </w:p>
    <w:p w14:paraId="43B15F28" w14:textId="77777777" w:rsidR="00B4480B" w:rsidRDefault="00B4480B" w:rsidP="00B4480B"/>
    <w:p w14:paraId="22679ADB" w14:textId="3E8177C6" w:rsidR="00B4480B" w:rsidRDefault="00837665" w:rsidP="00B4480B">
      <w:r>
        <w:t xml:space="preserve">3. </w:t>
      </w:r>
      <w:r w:rsidR="00B4480B">
        <w:t>W „Karcie oceny merytorycznej” określiliśmy system punktacji w ramach poszczególnych kryteriów oceny oraz przesłanki oceny pozytywnej. Wzór „Karty” załączyliśmy do ogłoszenia o konkursie.</w:t>
      </w:r>
    </w:p>
    <w:p w14:paraId="7BAC862B" w14:textId="77777777" w:rsidR="00B4480B" w:rsidRDefault="00B4480B" w:rsidP="00B4480B"/>
    <w:p w14:paraId="6F2740BE" w14:textId="2F920A58" w:rsidR="00B4480B" w:rsidRPr="00531F8A" w:rsidRDefault="00B4480B" w:rsidP="00B4480B">
      <w:pPr>
        <w:rPr>
          <w:b/>
          <w:bCs/>
        </w:rPr>
      </w:pPr>
      <w:r w:rsidRPr="00531F8A">
        <w:rPr>
          <w:b/>
          <w:bCs/>
        </w:rPr>
        <w:t>X. Audyt zewnętrzny projektu</w:t>
      </w:r>
      <w:r w:rsidR="00531F8A" w:rsidRPr="00531F8A">
        <w:rPr>
          <w:b/>
          <w:bCs/>
        </w:rPr>
        <w:t>.</w:t>
      </w:r>
    </w:p>
    <w:p w14:paraId="4FEBAF7C" w14:textId="220FE03B" w:rsidR="00B4480B" w:rsidRDefault="00531F8A" w:rsidP="00B4480B">
      <w:r w:rsidRPr="00531F8A">
        <w:t xml:space="preserve">W projektach zgłaszanych w konkursie </w:t>
      </w:r>
      <w:r>
        <w:t xml:space="preserve">w Module II </w:t>
      </w:r>
      <w:r w:rsidRPr="00531F8A">
        <w:t>nie jest wymagane przeprowadzenie audytu zewnętrznego.</w:t>
      </w:r>
    </w:p>
    <w:p w14:paraId="2EC3789B" w14:textId="2466CF7E" w:rsidR="00B4480B" w:rsidRPr="00531F8A" w:rsidRDefault="002061AC" w:rsidP="00B4480B">
      <w:pPr>
        <w:contextualSpacing w:val="0"/>
        <w:rPr>
          <w:b/>
          <w:bCs/>
        </w:rPr>
      </w:pPr>
      <w:r>
        <w:br w:type="page"/>
      </w:r>
      <w:r w:rsidR="00B4480B" w:rsidRPr="00531F8A">
        <w:rPr>
          <w:b/>
          <w:bCs/>
        </w:rPr>
        <w:lastRenderedPageBreak/>
        <w:t>X</w:t>
      </w:r>
      <w:r w:rsidR="00837665">
        <w:rPr>
          <w:b/>
          <w:bCs/>
        </w:rPr>
        <w:t>I</w:t>
      </w:r>
      <w:r w:rsidR="00B4480B" w:rsidRPr="00531F8A">
        <w:rPr>
          <w:b/>
          <w:bCs/>
        </w:rPr>
        <w:t>. Limity kosztów</w:t>
      </w:r>
      <w:r w:rsidR="00531F8A" w:rsidRPr="00531F8A">
        <w:rPr>
          <w:b/>
          <w:bCs/>
        </w:rPr>
        <w:t>.</w:t>
      </w:r>
    </w:p>
    <w:p w14:paraId="1BF6A482" w14:textId="04D2F65C" w:rsidR="00B4480B" w:rsidRDefault="00C1193E" w:rsidP="00B4480B">
      <w:r>
        <w:t xml:space="preserve">1. </w:t>
      </w:r>
      <w:r w:rsidR="00B4480B">
        <w:t>Suma kosztów, które wykażesz w kategorii:</w:t>
      </w:r>
    </w:p>
    <w:p w14:paraId="26172C32" w14:textId="6F7ED5F5" w:rsidR="009F003D" w:rsidRDefault="009F003D" w:rsidP="000F7F21">
      <w:pPr>
        <w:pStyle w:val="Akapitzlist"/>
        <w:numPr>
          <w:ilvl w:val="0"/>
          <w:numId w:val="38"/>
        </w:numPr>
      </w:pPr>
      <w:r>
        <w:t>koszty kwalifikowane nie mogą przekroczyć 25 000 zł na beneficjenta ostatecznego</w:t>
      </w:r>
      <w:r w:rsidR="000F7F21">
        <w:t xml:space="preserve"> w całym okresie trwania projektu;</w:t>
      </w:r>
    </w:p>
    <w:p w14:paraId="25E593DD" w14:textId="5CF46017" w:rsidR="00B4480B" w:rsidRDefault="00B4480B" w:rsidP="000F7F21">
      <w:pPr>
        <w:pStyle w:val="Akapitzlist"/>
        <w:numPr>
          <w:ilvl w:val="0"/>
          <w:numId w:val="38"/>
        </w:numPr>
      </w:pPr>
      <w:r>
        <w:t xml:space="preserve">koszty osobowe personelu administracyjnego nie mogą przekroczyć </w:t>
      </w:r>
      <w:r w:rsidR="00531F8A">
        <w:t xml:space="preserve">10 % </w:t>
      </w:r>
      <w:r>
        <w:t>łącznych kosztów kwalifikowalnych projektu;</w:t>
      </w:r>
    </w:p>
    <w:p w14:paraId="23AE8330" w14:textId="728B7D3D" w:rsidR="0001742A" w:rsidRDefault="0001742A" w:rsidP="000F7F21">
      <w:pPr>
        <w:pStyle w:val="Akapitzlist"/>
        <w:numPr>
          <w:ilvl w:val="0"/>
          <w:numId w:val="38"/>
        </w:numPr>
      </w:pPr>
      <w:bookmarkStart w:id="2" w:name="_Hlk164160645"/>
      <w:r>
        <w:t>koszty udziału tłumacza języka migowego nie mogą przekroczyć</w:t>
      </w:r>
      <w:r w:rsidR="002B60D4">
        <w:t xml:space="preserve"> </w:t>
      </w:r>
      <w:r w:rsidR="00531F8A">
        <w:t>6</w:t>
      </w:r>
      <w:r w:rsidR="002B60D4">
        <w:t xml:space="preserve">000 zł </w:t>
      </w:r>
      <w:r w:rsidR="002B60D4" w:rsidRPr="002B60D4">
        <w:t>na beneficjenta ostatecznego</w:t>
      </w:r>
      <w:r w:rsidR="002D4F3B">
        <w:t>;</w:t>
      </w:r>
    </w:p>
    <w:p w14:paraId="18F72423" w14:textId="0ECE2DA2" w:rsidR="002D4F3B" w:rsidRPr="002D4F3B" w:rsidRDefault="002D4F3B" w:rsidP="000F7F21">
      <w:pPr>
        <w:pStyle w:val="Akapitzlist"/>
        <w:numPr>
          <w:ilvl w:val="0"/>
          <w:numId w:val="38"/>
        </w:numPr>
      </w:pPr>
      <w:r w:rsidRPr="002D4F3B">
        <w:t xml:space="preserve">koszty udziału </w:t>
      </w:r>
      <w:r>
        <w:t xml:space="preserve">asystenta samodzielności </w:t>
      </w:r>
      <w:r w:rsidR="00C1193E" w:rsidRPr="00C1193E">
        <w:t xml:space="preserve">nie mogą przekroczyć </w:t>
      </w:r>
      <w:r w:rsidR="00C1193E">
        <w:t xml:space="preserve"> </w:t>
      </w:r>
      <w:r>
        <w:t xml:space="preserve">5000 zł </w:t>
      </w:r>
      <w:r w:rsidRPr="002D4F3B">
        <w:t>na beneficjenta ostatecznego</w:t>
      </w:r>
      <w:r>
        <w:t>;</w:t>
      </w:r>
    </w:p>
    <w:bookmarkEnd w:id="2"/>
    <w:p w14:paraId="3DD7EF9E" w14:textId="5C3210FB" w:rsidR="002D4F3B" w:rsidRDefault="002D4F3B" w:rsidP="002D4F3B">
      <w:pPr>
        <w:pStyle w:val="Akapitzlist"/>
        <w:numPr>
          <w:ilvl w:val="0"/>
          <w:numId w:val="0"/>
        </w:numPr>
        <w:ind w:left="720"/>
      </w:pPr>
    </w:p>
    <w:p w14:paraId="75BEFBD8" w14:textId="1C656D65" w:rsidR="002F4265" w:rsidRDefault="00C1193E" w:rsidP="002F4265">
      <w:r>
        <w:t xml:space="preserve">2. </w:t>
      </w:r>
      <w:r w:rsidR="00B4480B">
        <w:t xml:space="preserve">W </w:t>
      </w:r>
      <w:r w:rsidR="0001742A">
        <w:t>Module II</w:t>
      </w:r>
      <w:r w:rsidR="00B4480B">
        <w:t xml:space="preserve"> pomocy możesz wybrać </w:t>
      </w:r>
      <w:r w:rsidR="00531F8A">
        <w:t xml:space="preserve">jeden z trzech </w:t>
      </w:r>
      <w:r w:rsidR="002B60D4">
        <w:t>model</w:t>
      </w:r>
      <w:r w:rsidR="00531F8A">
        <w:t>i</w:t>
      </w:r>
      <w:r w:rsidR="002B60D4">
        <w:t xml:space="preserve"> rozliczenia kosztów </w:t>
      </w:r>
      <w:r w:rsidR="002F4265">
        <w:t>projektów:</w:t>
      </w:r>
    </w:p>
    <w:p w14:paraId="3AD08907" w14:textId="77777777" w:rsidR="002F4265" w:rsidRDefault="002F4265" w:rsidP="000F7F21">
      <w:pPr>
        <w:ind w:left="567"/>
      </w:pPr>
      <w:r>
        <w:t>1)</w:t>
      </w:r>
      <w:r>
        <w:tab/>
        <w:t>rozliczanie kosztów bezpośrednich i pośrednich na podstawie rzeczywiście poniesionych wydatków,</w:t>
      </w:r>
    </w:p>
    <w:p w14:paraId="6D25993F" w14:textId="77777777" w:rsidR="002F4265" w:rsidRDefault="002F4265" w:rsidP="000F7F21">
      <w:pPr>
        <w:ind w:left="567"/>
      </w:pPr>
      <w:r>
        <w:t>2)</w:t>
      </w:r>
      <w:r>
        <w:tab/>
        <w:t>rozliczanie kosztów bezpośrednich na podstawie rzeczywiście poniesionych wydatków oraz kosztów pośrednich ryczałtem,</w:t>
      </w:r>
    </w:p>
    <w:p w14:paraId="02860AB4" w14:textId="3FB6A81D" w:rsidR="002F4265" w:rsidRDefault="002F4265" w:rsidP="000F7F21">
      <w:pPr>
        <w:ind w:left="567"/>
      </w:pPr>
      <w:r>
        <w:t>3)</w:t>
      </w:r>
      <w:r>
        <w:tab/>
        <w:t>rozliczanie kosztów bezpośrednich i pośrednich ryczałtem na podstawie wysokości osiągniętych wskaźników,</w:t>
      </w:r>
    </w:p>
    <w:p w14:paraId="1F5D541F" w14:textId="5C8CD7B4" w:rsidR="00B4480B" w:rsidRDefault="003A3F6E" w:rsidP="000F7F21">
      <w:pPr>
        <w:ind w:left="567"/>
      </w:pPr>
      <w:r>
        <w:t xml:space="preserve">które zostały </w:t>
      </w:r>
      <w:r w:rsidR="002F4265">
        <w:t xml:space="preserve">uregulowane </w:t>
      </w:r>
      <w:r w:rsidR="002B60D4">
        <w:t xml:space="preserve">w Zasadach realizacji programu </w:t>
      </w:r>
      <w:r w:rsidR="002F4265">
        <w:t>„</w:t>
      </w:r>
      <w:r w:rsidR="002B60D4">
        <w:t>ABSOLWENT II</w:t>
      </w:r>
      <w:r w:rsidR="002F4265">
        <w:t>”</w:t>
      </w:r>
      <w:r>
        <w:t xml:space="preserve"> (link)</w:t>
      </w:r>
      <w:r w:rsidR="002B60D4">
        <w:t xml:space="preserve">. </w:t>
      </w:r>
    </w:p>
    <w:p w14:paraId="7683D73B" w14:textId="77777777" w:rsidR="002F4265" w:rsidRDefault="002F4265" w:rsidP="00B4480B"/>
    <w:p w14:paraId="5A70F756" w14:textId="77777777" w:rsidR="00B4480B" w:rsidRDefault="00B4480B" w:rsidP="00B4480B"/>
    <w:p w14:paraId="3ACD826C" w14:textId="43750D2A" w:rsidR="00B4480B" w:rsidRPr="00531F8A" w:rsidRDefault="00B4480B" w:rsidP="00B4480B">
      <w:pPr>
        <w:rPr>
          <w:b/>
          <w:bCs/>
        </w:rPr>
      </w:pPr>
      <w:r w:rsidRPr="00531F8A">
        <w:rPr>
          <w:b/>
          <w:bCs/>
        </w:rPr>
        <w:t>X</w:t>
      </w:r>
      <w:r w:rsidR="00837665">
        <w:rPr>
          <w:b/>
          <w:bCs/>
        </w:rPr>
        <w:t>I</w:t>
      </w:r>
      <w:r w:rsidR="00531F8A" w:rsidRPr="00531F8A">
        <w:rPr>
          <w:b/>
          <w:bCs/>
        </w:rPr>
        <w:t>I</w:t>
      </w:r>
      <w:r w:rsidRPr="00531F8A">
        <w:rPr>
          <w:b/>
          <w:bCs/>
        </w:rPr>
        <w:t>. Jak przekażemy dofinansowanie</w:t>
      </w:r>
      <w:r w:rsidR="00531F8A" w:rsidRPr="00531F8A">
        <w:rPr>
          <w:b/>
          <w:bCs/>
        </w:rPr>
        <w:t>.</w:t>
      </w:r>
    </w:p>
    <w:p w14:paraId="79113D73" w14:textId="4A524694" w:rsidR="00B4480B" w:rsidRDefault="00AF2249" w:rsidP="00B4480B">
      <w:r>
        <w:t xml:space="preserve">1. </w:t>
      </w:r>
      <w:r w:rsidR="00B4480B">
        <w:t>Środki finansowe przekażemy według następujących zasad:</w:t>
      </w:r>
    </w:p>
    <w:p w14:paraId="47863578" w14:textId="77777777" w:rsidR="00531F8A" w:rsidRDefault="00531F8A" w:rsidP="00531F8A">
      <w:pPr>
        <w:pStyle w:val="Akapitzlist"/>
        <w:numPr>
          <w:ilvl w:val="0"/>
          <w:numId w:val="27"/>
        </w:numPr>
      </w:pPr>
      <w:r>
        <w:t>pierwsza transza zaliczkowo do wysokości 50% przyznanego dofinansowania,</w:t>
      </w:r>
    </w:p>
    <w:p w14:paraId="02BE0521" w14:textId="77777777" w:rsidR="00531F8A" w:rsidRDefault="00531F8A" w:rsidP="00531F8A">
      <w:pPr>
        <w:pStyle w:val="Akapitzlist"/>
        <w:numPr>
          <w:ilvl w:val="0"/>
          <w:numId w:val="27"/>
        </w:numPr>
      </w:pPr>
      <w:r>
        <w:t>druga transza zaliczkowo po rozliczeniu przez Wnioskodawcę co najmniej 60% transzy pierwszej i uznaniu tego rozliczenia przez PFRON;</w:t>
      </w:r>
    </w:p>
    <w:p w14:paraId="1D0B1BEF" w14:textId="6B72CEAA" w:rsidR="00531F8A" w:rsidRDefault="00AF2249" w:rsidP="00531F8A">
      <w:r>
        <w:t xml:space="preserve">2. </w:t>
      </w:r>
      <w:r w:rsidR="00531F8A">
        <w:t xml:space="preserve">W przypadku rozliczenia kosztów bezpośrednich i kosztów pośrednich ryczałtem na podstawie wysokości osiągniętych wskaźników druga transza </w:t>
      </w:r>
      <w:r w:rsidR="00A75FA3">
        <w:t xml:space="preserve">przekazywana jest </w:t>
      </w:r>
      <w:r w:rsidR="00531F8A">
        <w:t xml:space="preserve">zaliczkowo po rozliczeniu przez Wnioskodawcę transzy pierwszej i uznaniu tego rozliczenia przez PFRON, pod warunkiem osiągnięcia: </w:t>
      </w:r>
    </w:p>
    <w:p w14:paraId="4E3B6A61" w14:textId="77777777" w:rsidR="00531F8A" w:rsidRDefault="00531F8A" w:rsidP="00531F8A">
      <w:pPr>
        <w:pStyle w:val="Akapitzlist"/>
        <w:numPr>
          <w:ilvl w:val="0"/>
          <w:numId w:val="23"/>
        </w:numPr>
      </w:pPr>
      <w:r>
        <w:t>pierwszego wskaźnika produktu –na poziomie co najmniej 60%,</w:t>
      </w:r>
    </w:p>
    <w:p w14:paraId="67482822" w14:textId="00AEE9AB" w:rsidR="00B4480B" w:rsidRDefault="0044653D" w:rsidP="00B4480B">
      <w:r>
        <w:t>(</w:t>
      </w:r>
      <w:r w:rsidRPr="0044653D">
        <w:t>pierwszy wskaźnik produktu - liczba beneficjentów ostatecznych projektu objętych wsparciem</w:t>
      </w:r>
      <w:r>
        <w:t>)</w:t>
      </w:r>
    </w:p>
    <w:p w14:paraId="1E8F2221" w14:textId="77777777" w:rsidR="007B3363" w:rsidRDefault="007B3363" w:rsidP="00CE6A88"/>
    <w:p w14:paraId="15EBCA85" w14:textId="37CF65E2" w:rsidR="00CE6A88" w:rsidRDefault="00AF2249" w:rsidP="00CE6A88">
      <w:r>
        <w:t xml:space="preserve">3. </w:t>
      </w:r>
      <w:r w:rsidR="000F7F21">
        <w:t xml:space="preserve">Przy umowach rocznych oraz w przypadku wartości umowy do kwoty 150 000 zł a także w </w:t>
      </w:r>
      <w:r w:rsidR="00CE6A88">
        <w:t>uzasadnionych przypadkach dopuszcza się możliwość przekazania środków finansowych w całości po podpisaniu umowy.</w:t>
      </w:r>
    </w:p>
    <w:p w14:paraId="11C4FF60" w14:textId="77777777" w:rsidR="00CE6A88" w:rsidRDefault="00CE6A88" w:rsidP="00CE6A88"/>
    <w:p w14:paraId="4D85BC0C" w14:textId="5948DC0D" w:rsidR="00CE6A88" w:rsidRDefault="00AF2249" w:rsidP="00CE6A88">
      <w:r>
        <w:lastRenderedPageBreak/>
        <w:t>Uwaga</w:t>
      </w:r>
      <w:r w:rsidR="002061AC">
        <w:t>!</w:t>
      </w:r>
      <w:r>
        <w:t xml:space="preserve"> </w:t>
      </w:r>
      <w:r w:rsidR="00CE6A88">
        <w:t>Warunkiem wypłaty przez PFRON kwot dofinansowania jest posiadanie przez PFRON środków finansowych na realizację pilotażowego programu „ABSOLWENT</w:t>
      </w:r>
      <w:r w:rsidR="007B3363">
        <w:t xml:space="preserve"> II</w:t>
      </w:r>
      <w:r w:rsidR="00CE6A88">
        <w:t>”, umożliwiających wykonanie niniejszej umowy.</w:t>
      </w:r>
    </w:p>
    <w:p w14:paraId="7345E1CD" w14:textId="77777777" w:rsidR="00B4480B" w:rsidRDefault="00B4480B" w:rsidP="00B4480B"/>
    <w:p w14:paraId="5AF45BC0" w14:textId="70D2D432" w:rsidR="00B4480B" w:rsidRPr="00CE6A88" w:rsidRDefault="00B4480B" w:rsidP="00B4480B">
      <w:pPr>
        <w:rPr>
          <w:b/>
          <w:bCs/>
        </w:rPr>
      </w:pPr>
      <w:r w:rsidRPr="00CE6A88">
        <w:rPr>
          <w:b/>
          <w:bCs/>
        </w:rPr>
        <w:t>X</w:t>
      </w:r>
      <w:r w:rsidR="00CE6A88" w:rsidRPr="00CE6A88">
        <w:rPr>
          <w:b/>
          <w:bCs/>
        </w:rPr>
        <w:t>I</w:t>
      </w:r>
      <w:r w:rsidRPr="00CE6A88">
        <w:rPr>
          <w:b/>
          <w:bCs/>
        </w:rPr>
        <w:t>I</w:t>
      </w:r>
      <w:r w:rsidR="00837665">
        <w:rPr>
          <w:b/>
          <w:bCs/>
        </w:rPr>
        <w:t>I</w:t>
      </w:r>
      <w:r w:rsidRPr="00CE6A88">
        <w:rPr>
          <w:b/>
          <w:bCs/>
        </w:rPr>
        <w:t>. Oszczędności w budżecie projektu</w:t>
      </w:r>
      <w:r w:rsidR="00CE6A88" w:rsidRPr="00CE6A88">
        <w:rPr>
          <w:b/>
          <w:bCs/>
        </w:rPr>
        <w:t>.</w:t>
      </w:r>
    </w:p>
    <w:p w14:paraId="6B70AC57" w14:textId="397C51FC" w:rsidR="00B4480B" w:rsidRDefault="00B4480B" w:rsidP="00B4480B">
      <w:r>
        <w:t>Jeżeli podczas realizacji projektu wygenerujesz oszczędności możesz przesunąć te środki na inną pozycję kosztu ujętą w tej samej lub innej kategorii kosztów. Jeżeli zwiększenie tej pozycji nie przekroczy 15% jej dotychczasowej wartości lub nie będzie wyższe niż 1 500,00 złotych – nie jest potrzebna akceptacja PFRON i nie musimy aneksować umowy.</w:t>
      </w:r>
    </w:p>
    <w:p w14:paraId="5C906C68" w14:textId="77777777" w:rsidR="00B4480B" w:rsidRDefault="00B4480B" w:rsidP="00B4480B"/>
    <w:p w14:paraId="016252F9" w14:textId="28982A4C" w:rsidR="003535E9" w:rsidRPr="00154D84" w:rsidRDefault="00AF2249" w:rsidP="00B4480B">
      <w:r>
        <w:t>Uwaga</w:t>
      </w:r>
      <w:r w:rsidR="002061AC">
        <w:t>!</w:t>
      </w:r>
      <w:r>
        <w:t xml:space="preserve"> </w:t>
      </w:r>
      <w:r w:rsidR="00B4480B">
        <w:t>Pamiętaj, że zmiany te nie mogą przekroczyć limitów, które określiliśmy w rozdziale X</w:t>
      </w:r>
      <w:r w:rsidR="00837665">
        <w:t>I</w:t>
      </w:r>
      <w:r w:rsidR="00CE6A88">
        <w:t xml:space="preserve"> </w:t>
      </w:r>
      <w:r w:rsidR="00B4480B">
        <w:t>ogłoszenia o konkursie</w:t>
      </w:r>
    </w:p>
    <w:sectPr w:rsidR="003535E9" w:rsidRPr="00154D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6AB1B" w14:textId="77777777" w:rsidR="009E63F0" w:rsidRDefault="009E63F0" w:rsidP="00B4480B">
      <w:pPr>
        <w:spacing w:after="0" w:line="240" w:lineRule="auto"/>
      </w:pPr>
      <w:r>
        <w:separator/>
      </w:r>
    </w:p>
  </w:endnote>
  <w:endnote w:type="continuationSeparator" w:id="0">
    <w:p w14:paraId="693E55B2" w14:textId="77777777" w:rsidR="009E63F0" w:rsidRDefault="009E63F0" w:rsidP="00B4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9738579"/>
      <w:docPartObj>
        <w:docPartGallery w:val="Page Numbers (Bottom of Page)"/>
        <w:docPartUnique/>
      </w:docPartObj>
    </w:sdtPr>
    <w:sdtContent>
      <w:p w14:paraId="4A56ADF8" w14:textId="4E39E3EA" w:rsidR="00B4480B" w:rsidRDefault="00B44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6DFBF" w14:textId="77777777" w:rsidR="00B4480B" w:rsidRDefault="00B44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3BE09" w14:textId="77777777" w:rsidR="009E63F0" w:rsidRDefault="009E63F0" w:rsidP="00B4480B">
      <w:pPr>
        <w:spacing w:after="0" w:line="240" w:lineRule="auto"/>
      </w:pPr>
      <w:r>
        <w:separator/>
      </w:r>
    </w:p>
  </w:footnote>
  <w:footnote w:type="continuationSeparator" w:id="0">
    <w:p w14:paraId="2F3E41A4" w14:textId="77777777" w:rsidR="009E63F0" w:rsidRDefault="009E63F0" w:rsidP="00B4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6357"/>
    <w:multiLevelType w:val="hybridMultilevel"/>
    <w:tmpl w:val="A37C4524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FB0"/>
    <w:multiLevelType w:val="hybridMultilevel"/>
    <w:tmpl w:val="36AA8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010CB9"/>
    <w:multiLevelType w:val="hybridMultilevel"/>
    <w:tmpl w:val="692C4AC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76D2"/>
    <w:multiLevelType w:val="hybridMultilevel"/>
    <w:tmpl w:val="93FE0E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1D9B"/>
    <w:multiLevelType w:val="hybridMultilevel"/>
    <w:tmpl w:val="1386803E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F7DC4"/>
    <w:multiLevelType w:val="hybridMultilevel"/>
    <w:tmpl w:val="04963D94"/>
    <w:lvl w:ilvl="0" w:tplc="5E86ABCC">
      <w:start w:val="1"/>
      <w:numFmt w:val="decimal"/>
      <w:lvlText w:val="%1."/>
      <w:lvlJc w:val="left"/>
      <w:pPr>
        <w:ind w:left="1140" w:hanging="360"/>
      </w:pPr>
    </w:lvl>
    <w:lvl w:ilvl="1" w:tplc="A1805EA6">
      <w:start w:val="1"/>
      <w:numFmt w:val="decimal"/>
      <w:lvlText w:val="%2)"/>
      <w:lvlJc w:val="left"/>
      <w:pPr>
        <w:ind w:left="1560" w:hanging="360"/>
      </w:pPr>
    </w:lvl>
    <w:lvl w:ilvl="2" w:tplc="D6C84088">
      <w:start w:val="1"/>
      <w:numFmt w:val="lowerLetter"/>
      <w:lvlText w:val="%3)"/>
      <w:lvlJc w:val="left"/>
      <w:pPr>
        <w:ind w:left="1980" w:hanging="360"/>
      </w:pPr>
    </w:lvl>
    <w:lvl w:ilvl="3" w:tplc="1D22FA9C">
      <w:start w:val="1"/>
      <w:numFmt w:val="decimal"/>
      <w:lvlText w:val="%4."/>
      <w:lvlJc w:val="left"/>
      <w:pPr>
        <w:ind w:left="1140" w:hanging="360"/>
      </w:pPr>
    </w:lvl>
    <w:lvl w:ilvl="4" w:tplc="DB12E5EE">
      <w:start w:val="1"/>
      <w:numFmt w:val="decimal"/>
      <w:lvlText w:val="%5."/>
      <w:lvlJc w:val="left"/>
      <w:pPr>
        <w:ind w:left="1140" w:hanging="360"/>
      </w:pPr>
    </w:lvl>
    <w:lvl w:ilvl="5" w:tplc="76DEC89E">
      <w:start w:val="1"/>
      <w:numFmt w:val="decimal"/>
      <w:lvlText w:val="%6."/>
      <w:lvlJc w:val="left"/>
      <w:pPr>
        <w:ind w:left="1140" w:hanging="360"/>
      </w:pPr>
    </w:lvl>
    <w:lvl w:ilvl="6" w:tplc="076C0736">
      <w:start w:val="1"/>
      <w:numFmt w:val="decimal"/>
      <w:lvlText w:val="%7."/>
      <w:lvlJc w:val="left"/>
      <w:pPr>
        <w:ind w:left="1140" w:hanging="360"/>
      </w:pPr>
    </w:lvl>
    <w:lvl w:ilvl="7" w:tplc="2452DC9A">
      <w:start w:val="1"/>
      <w:numFmt w:val="decimal"/>
      <w:lvlText w:val="%8."/>
      <w:lvlJc w:val="left"/>
      <w:pPr>
        <w:ind w:left="1140" w:hanging="360"/>
      </w:pPr>
    </w:lvl>
    <w:lvl w:ilvl="8" w:tplc="7ABE390E">
      <w:start w:val="1"/>
      <w:numFmt w:val="decimal"/>
      <w:lvlText w:val="%9."/>
      <w:lvlJc w:val="left"/>
      <w:pPr>
        <w:ind w:left="1140" w:hanging="360"/>
      </w:pPr>
    </w:lvl>
  </w:abstractNum>
  <w:abstractNum w:abstractNumId="9" w15:restartNumberingAfterBreak="0">
    <w:nsid w:val="228750C7"/>
    <w:multiLevelType w:val="hybridMultilevel"/>
    <w:tmpl w:val="6552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Theme="minorHAnsi" w:hAnsi="Calibri" w:cs="Calibri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2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02BF"/>
    <w:multiLevelType w:val="hybridMultilevel"/>
    <w:tmpl w:val="BAF027B0"/>
    <w:lvl w:ilvl="0" w:tplc="A53A290A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881743"/>
    <w:multiLevelType w:val="hybridMultilevel"/>
    <w:tmpl w:val="2A92A784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C2"/>
    <w:multiLevelType w:val="hybridMultilevel"/>
    <w:tmpl w:val="D7880250"/>
    <w:lvl w:ilvl="0" w:tplc="C1520E50">
      <w:start w:val="1"/>
      <w:numFmt w:val="decimal"/>
      <w:lvlText w:val="%1."/>
      <w:lvlJc w:val="left"/>
      <w:pPr>
        <w:ind w:left="1145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C5934D5"/>
    <w:multiLevelType w:val="hybridMultilevel"/>
    <w:tmpl w:val="65D63F3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0476AA7"/>
    <w:multiLevelType w:val="hybridMultilevel"/>
    <w:tmpl w:val="C45465B4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21680"/>
    <w:multiLevelType w:val="hybridMultilevel"/>
    <w:tmpl w:val="2BFCF0A0"/>
    <w:lvl w:ilvl="0" w:tplc="E30AB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F441D4"/>
    <w:multiLevelType w:val="hybridMultilevel"/>
    <w:tmpl w:val="4746D232"/>
    <w:lvl w:ilvl="0" w:tplc="419ED9C8">
      <w:start w:val="1"/>
      <w:numFmt w:val="decimal"/>
      <w:lvlText w:val="%1)"/>
      <w:lvlJc w:val="left"/>
      <w:pPr>
        <w:ind w:left="1020" w:hanging="360"/>
      </w:pPr>
    </w:lvl>
    <w:lvl w:ilvl="1" w:tplc="5DCEFD98">
      <w:start w:val="1"/>
      <w:numFmt w:val="decimal"/>
      <w:lvlText w:val="%2)"/>
      <w:lvlJc w:val="left"/>
      <w:pPr>
        <w:ind w:left="1020" w:hanging="360"/>
      </w:pPr>
    </w:lvl>
    <w:lvl w:ilvl="2" w:tplc="42B466FC">
      <w:start w:val="1"/>
      <w:numFmt w:val="decimal"/>
      <w:lvlText w:val="%3)"/>
      <w:lvlJc w:val="left"/>
      <w:pPr>
        <w:ind w:left="1020" w:hanging="360"/>
      </w:pPr>
    </w:lvl>
    <w:lvl w:ilvl="3" w:tplc="5154918C">
      <w:start w:val="1"/>
      <w:numFmt w:val="decimal"/>
      <w:lvlText w:val="%4)"/>
      <w:lvlJc w:val="left"/>
      <w:pPr>
        <w:ind w:left="1020" w:hanging="360"/>
      </w:pPr>
    </w:lvl>
    <w:lvl w:ilvl="4" w:tplc="22DA4D62">
      <w:start w:val="1"/>
      <w:numFmt w:val="decimal"/>
      <w:lvlText w:val="%5)"/>
      <w:lvlJc w:val="left"/>
      <w:pPr>
        <w:ind w:left="1020" w:hanging="360"/>
      </w:pPr>
    </w:lvl>
    <w:lvl w:ilvl="5" w:tplc="3EEC54D8">
      <w:start w:val="1"/>
      <w:numFmt w:val="decimal"/>
      <w:lvlText w:val="%6)"/>
      <w:lvlJc w:val="left"/>
      <w:pPr>
        <w:ind w:left="1020" w:hanging="360"/>
      </w:pPr>
    </w:lvl>
    <w:lvl w:ilvl="6" w:tplc="42ECD80C">
      <w:start w:val="1"/>
      <w:numFmt w:val="decimal"/>
      <w:lvlText w:val="%7)"/>
      <w:lvlJc w:val="left"/>
      <w:pPr>
        <w:ind w:left="1020" w:hanging="360"/>
      </w:pPr>
    </w:lvl>
    <w:lvl w:ilvl="7" w:tplc="FCB204A4">
      <w:start w:val="1"/>
      <w:numFmt w:val="decimal"/>
      <w:lvlText w:val="%8)"/>
      <w:lvlJc w:val="left"/>
      <w:pPr>
        <w:ind w:left="1020" w:hanging="360"/>
      </w:pPr>
    </w:lvl>
    <w:lvl w:ilvl="8" w:tplc="3F9832DC">
      <w:start w:val="1"/>
      <w:numFmt w:val="decimal"/>
      <w:lvlText w:val="%9)"/>
      <w:lvlJc w:val="left"/>
      <w:pPr>
        <w:ind w:left="1020" w:hanging="360"/>
      </w:pPr>
    </w:lvl>
  </w:abstractNum>
  <w:abstractNum w:abstractNumId="21" w15:restartNumberingAfterBreak="0">
    <w:nsid w:val="52AE195C"/>
    <w:multiLevelType w:val="multilevel"/>
    <w:tmpl w:val="E3C6E8F2"/>
    <w:numStyleLink w:val="Styl2-absolwent"/>
  </w:abstractNum>
  <w:abstractNum w:abstractNumId="22" w15:restartNumberingAfterBreak="0">
    <w:nsid w:val="5CE17120"/>
    <w:multiLevelType w:val="hybridMultilevel"/>
    <w:tmpl w:val="2BEC5AB4"/>
    <w:lvl w:ilvl="0" w:tplc="00981CB4">
      <w:start w:val="1"/>
      <w:numFmt w:val="decimal"/>
      <w:lvlText w:val="%1)"/>
      <w:lvlJc w:val="left"/>
      <w:pPr>
        <w:ind w:left="1020" w:hanging="360"/>
      </w:pPr>
    </w:lvl>
    <w:lvl w:ilvl="1" w:tplc="8918F4C4">
      <w:start w:val="1"/>
      <w:numFmt w:val="decimal"/>
      <w:lvlText w:val="%2)"/>
      <w:lvlJc w:val="left"/>
      <w:pPr>
        <w:ind w:left="1020" w:hanging="360"/>
      </w:pPr>
    </w:lvl>
    <w:lvl w:ilvl="2" w:tplc="AAB8E84C">
      <w:start w:val="1"/>
      <w:numFmt w:val="decimal"/>
      <w:lvlText w:val="%3)"/>
      <w:lvlJc w:val="left"/>
      <w:pPr>
        <w:ind w:left="1020" w:hanging="360"/>
      </w:pPr>
    </w:lvl>
    <w:lvl w:ilvl="3" w:tplc="53F2E424">
      <w:start w:val="1"/>
      <w:numFmt w:val="decimal"/>
      <w:lvlText w:val="%4)"/>
      <w:lvlJc w:val="left"/>
      <w:pPr>
        <w:ind w:left="1020" w:hanging="360"/>
      </w:pPr>
    </w:lvl>
    <w:lvl w:ilvl="4" w:tplc="B9EAFCF8">
      <w:start w:val="1"/>
      <w:numFmt w:val="decimal"/>
      <w:lvlText w:val="%5)"/>
      <w:lvlJc w:val="left"/>
      <w:pPr>
        <w:ind w:left="1020" w:hanging="360"/>
      </w:pPr>
    </w:lvl>
    <w:lvl w:ilvl="5" w:tplc="8334C9C8">
      <w:start w:val="1"/>
      <w:numFmt w:val="decimal"/>
      <w:lvlText w:val="%6)"/>
      <w:lvlJc w:val="left"/>
      <w:pPr>
        <w:ind w:left="1020" w:hanging="360"/>
      </w:pPr>
    </w:lvl>
    <w:lvl w:ilvl="6" w:tplc="9BB27EFA">
      <w:start w:val="1"/>
      <w:numFmt w:val="decimal"/>
      <w:lvlText w:val="%7)"/>
      <w:lvlJc w:val="left"/>
      <w:pPr>
        <w:ind w:left="1020" w:hanging="360"/>
      </w:pPr>
    </w:lvl>
    <w:lvl w:ilvl="7" w:tplc="DB306A0A">
      <w:start w:val="1"/>
      <w:numFmt w:val="decimal"/>
      <w:lvlText w:val="%8)"/>
      <w:lvlJc w:val="left"/>
      <w:pPr>
        <w:ind w:left="1020" w:hanging="360"/>
      </w:pPr>
    </w:lvl>
    <w:lvl w:ilvl="8" w:tplc="71BCCAF6">
      <w:start w:val="1"/>
      <w:numFmt w:val="decimal"/>
      <w:lvlText w:val="%9)"/>
      <w:lvlJc w:val="left"/>
      <w:pPr>
        <w:ind w:left="1020" w:hanging="360"/>
      </w:pPr>
    </w:lvl>
  </w:abstractNum>
  <w:abstractNum w:abstractNumId="23" w15:restartNumberingAfterBreak="0">
    <w:nsid w:val="61CA4B9F"/>
    <w:multiLevelType w:val="hybridMultilevel"/>
    <w:tmpl w:val="C090DB3E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6675B"/>
    <w:multiLevelType w:val="hybridMultilevel"/>
    <w:tmpl w:val="DBCEFF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62C"/>
    <w:multiLevelType w:val="hybridMultilevel"/>
    <w:tmpl w:val="7D4400D8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31D7D"/>
    <w:multiLevelType w:val="hybridMultilevel"/>
    <w:tmpl w:val="12B29F38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25362"/>
    <w:multiLevelType w:val="hybridMultilevel"/>
    <w:tmpl w:val="6E5E70AA"/>
    <w:lvl w:ilvl="0" w:tplc="A446C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8F658C"/>
    <w:multiLevelType w:val="hybridMultilevel"/>
    <w:tmpl w:val="CFDEEE5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9EB"/>
    <w:multiLevelType w:val="hybridMultilevel"/>
    <w:tmpl w:val="74B6EA78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16F8F"/>
    <w:multiLevelType w:val="hybridMultilevel"/>
    <w:tmpl w:val="51F6C23E"/>
    <w:lvl w:ilvl="0" w:tplc="760C0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8E6490"/>
    <w:multiLevelType w:val="hybridMultilevel"/>
    <w:tmpl w:val="5C3856FC"/>
    <w:lvl w:ilvl="0" w:tplc="C1520E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6710546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93A90"/>
    <w:multiLevelType w:val="hybridMultilevel"/>
    <w:tmpl w:val="1FD6DFC0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15F5E"/>
    <w:multiLevelType w:val="hybridMultilevel"/>
    <w:tmpl w:val="4A2AB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0066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1716">
    <w:abstractNumId w:val="14"/>
  </w:num>
  <w:num w:numId="2" w16cid:durableId="611978835">
    <w:abstractNumId w:val="2"/>
  </w:num>
  <w:num w:numId="3" w16cid:durableId="1790317043">
    <w:abstractNumId w:val="10"/>
  </w:num>
  <w:num w:numId="4" w16cid:durableId="1039470909">
    <w:abstractNumId w:val="10"/>
  </w:num>
  <w:num w:numId="5" w16cid:durableId="428432949">
    <w:abstractNumId w:val="2"/>
  </w:num>
  <w:num w:numId="6" w16cid:durableId="1139764484">
    <w:abstractNumId w:val="2"/>
  </w:num>
  <w:num w:numId="7" w16cid:durableId="593712312">
    <w:abstractNumId w:val="7"/>
  </w:num>
  <w:num w:numId="8" w16cid:durableId="1886791774">
    <w:abstractNumId w:val="7"/>
  </w:num>
  <w:num w:numId="9" w16cid:durableId="143473222">
    <w:abstractNumId w:val="3"/>
  </w:num>
  <w:num w:numId="10" w16cid:durableId="1018314556">
    <w:abstractNumId w:val="12"/>
  </w:num>
  <w:num w:numId="11" w16cid:durableId="695814051">
    <w:abstractNumId w:val="13"/>
  </w:num>
  <w:num w:numId="12" w16cid:durableId="1682777607">
    <w:abstractNumId w:val="0"/>
  </w:num>
  <w:num w:numId="13" w16cid:durableId="1605648945">
    <w:abstractNumId w:val="17"/>
  </w:num>
  <w:num w:numId="14" w16cid:durableId="1384987952">
    <w:abstractNumId w:val="6"/>
  </w:num>
  <w:num w:numId="15" w16cid:durableId="1747991628">
    <w:abstractNumId w:val="29"/>
  </w:num>
  <w:num w:numId="16" w16cid:durableId="1420560805">
    <w:abstractNumId w:val="33"/>
  </w:num>
  <w:num w:numId="17" w16cid:durableId="928776675">
    <w:abstractNumId w:val="4"/>
  </w:num>
  <w:num w:numId="18" w16cid:durableId="1063217277">
    <w:abstractNumId w:val="25"/>
  </w:num>
  <w:num w:numId="19" w16cid:durableId="2069496260">
    <w:abstractNumId w:val="28"/>
  </w:num>
  <w:num w:numId="20" w16cid:durableId="285044751">
    <w:abstractNumId w:val="15"/>
  </w:num>
  <w:num w:numId="21" w16cid:durableId="1770662503">
    <w:abstractNumId w:val="26"/>
  </w:num>
  <w:num w:numId="22" w16cid:durableId="1969162025">
    <w:abstractNumId w:val="18"/>
  </w:num>
  <w:num w:numId="23" w16cid:durableId="1931351665">
    <w:abstractNumId w:val="32"/>
  </w:num>
  <w:num w:numId="24" w16cid:durableId="1798714335">
    <w:abstractNumId w:val="22"/>
  </w:num>
  <w:num w:numId="25" w16cid:durableId="987591275">
    <w:abstractNumId w:val="20"/>
  </w:num>
  <w:num w:numId="26" w16cid:durableId="552158559">
    <w:abstractNumId w:val="8"/>
  </w:num>
  <w:num w:numId="27" w16cid:durableId="1671325364">
    <w:abstractNumId w:val="23"/>
  </w:num>
  <w:num w:numId="28" w16cid:durableId="807941409">
    <w:abstractNumId w:val="31"/>
  </w:num>
  <w:num w:numId="29" w16cid:durableId="869759840">
    <w:abstractNumId w:val="11"/>
  </w:num>
  <w:num w:numId="30" w16cid:durableId="982008741">
    <w:abstractNumId w:val="21"/>
  </w:num>
  <w:num w:numId="31" w16cid:durableId="1011223437">
    <w:abstractNumId w:val="16"/>
  </w:num>
  <w:num w:numId="32" w16cid:durableId="449009914">
    <w:abstractNumId w:val="5"/>
  </w:num>
  <w:num w:numId="33" w16cid:durableId="455223477">
    <w:abstractNumId w:val="24"/>
  </w:num>
  <w:num w:numId="34" w16cid:durableId="1687361082">
    <w:abstractNumId w:val="27"/>
  </w:num>
  <w:num w:numId="35" w16cid:durableId="888301756">
    <w:abstractNumId w:val="30"/>
  </w:num>
  <w:num w:numId="36" w16cid:durableId="579485732">
    <w:abstractNumId w:val="19"/>
  </w:num>
  <w:num w:numId="37" w16cid:durableId="1494876630">
    <w:abstractNumId w:val="9"/>
  </w:num>
  <w:num w:numId="38" w16cid:durableId="1256330605">
    <w:abstractNumId w:val="1"/>
  </w:num>
  <w:num w:numId="39" w16cid:durableId="48466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0B"/>
    <w:rsid w:val="00001CCA"/>
    <w:rsid w:val="0001742A"/>
    <w:rsid w:val="00024B32"/>
    <w:rsid w:val="0002632E"/>
    <w:rsid w:val="0003566A"/>
    <w:rsid w:val="000416EA"/>
    <w:rsid w:val="000549EE"/>
    <w:rsid w:val="000B1C5F"/>
    <w:rsid w:val="000D0414"/>
    <w:rsid w:val="000D29E6"/>
    <w:rsid w:val="000F4870"/>
    <w:rsid w:val="000F6C61"/>
    <w:rsid w:val="000F7F21"/>
    <w:rsid w:val="00107A69"/>
    <w:rsid w:val="0011709F"/>
    <w:rsid w:val="00154D84"/>
    <w:rsid w:val="001566FF"/>
    <w:rsid w:val="0019298F"/>
    <w:rsid w:val="001A704D"/>
    <w:rsid w:val="001F409C"/>
    <w:rsid w:val="002061AC"/>
    <w:rsid w:val="002B60D4"/>
    <w:rsid w:val="002D4F3B"/>
    <w:rsid w:val="002E5E32"/>
    <w:rsid w:val="002F4265"/>
    <w:rsid w:val="00311E95"/>
    <w:rsid w:val="00330B6A"/>
    <w:rsid w:val="00331006"/>
    <w:rsid w:val="0033343A"/>
    <w:rsid w:val="003362A5"/>
    <w:rsid w:val="003535E9"/>
    <w:rsid w:val="003A33F9"/>
    <w:rsid w:val="003A3F6E"/>
    <w:rsid w:val="003E1C3F"/>
    <w:rsid w:val="00444A67"/>
    <w:rsid w:val="0044653D"/>
    <w:rsid w:val="00447A8E"/>
    <w:rsid w:val="0045006B"/>
    <w:rsid w:val="0046582B"/>
    <w:rsid w:val="00465DBB"/>
    <w:rsid w:val="00493149"/>
    <w:rsid w:val="004A5B00"/>
    <w:rsid w:val="004B07B3"/>
    <w:rsid w:val="004C4789"/>
    <w:rsid w:val="004D01D4"/>
    <w:rsid w:val="004D2418"/>
    <w:rsid w:val="004D6C4E"/>
    <w:rsid w:val="004D7479"/>
    <w:rsid w:val="004F7541"/>
    <w:rsid w:val="0050490B"/>
    <w:rsid w:val="00511992"/>
    <w:rsid w:val="00530605"/>
    <w:rsid w:val="00531F8A"/>
    <w:rsid w:val="00556FAB"/>
    <w:rsid w:val="00573B20"/>
    <w:rsid w:val="005D2CEA"/>
    <w:rsid w:val="00620C9B"/>
    <w:rsid w:val="0063263A"/>
    <w:rsid w:val="006413DA"/>
    <w:rsid w:val="006557BA"/>
    <w:rsid w:val="006939CB"/>
    <w:rsid w:val="006A0BB7"/>
    <w:rsid w:val="006B7532"/>
    <w:rsid w:val="006F2CCA"/>
    <w:rsid w:val="00703C68"/>
    <w:rsid w:val="00710E42"/>
    <w:rsid w:val="007325C9"/>
    <w:rsid w:val="007418A1"/>
    <w:rsid w:val="007B1006"/>
    <w:rsid w:val="007B3363"/>
    <w:rsid w:val="007B6DEC"/>
    <w:rsid w:val="007C7599"/>
    <w:rsid w:val="007D3F52"/>
    <w:rsid w:val="008247A4"/>
    <w:rsid w:val="00831734"/>
    <w:rsid w:val="00837665"/>
    <w:rsid w:val="008458E7"/>
    <w:rsid w:val="0085611A"/>
    <w:rsid w:val="00870B76"/>
    <w:rsid w:val="008711AC"/>
    <w:rsid w:val="00874239"/>
    <w:rsid w:val="008805D3"/>
    <w:rsid w:val="008B0661"/>
    <w:rsid w:val="008B0D86"/>
    <w:rsid w:val="008B2630"/>
    <w:rsid w:val="008D731E"/>
    <w:rsid w:val="00913CC0"/>
    <w:rsid w:val="00940C68"/>
    <w:rsid w:val="00983E12"/>
    <w:rsid w:val="009D0566"/>
    <w:rsid w:val="009E5F40"/>
    <w:rsid w:val="009E63F0"/>
    <w:rsid w:val="009F003D"/>
    <w:rsid w:val="009F0211"/>
    <w:rsid w:val="00A05179"/>
    <w:rsid w:val="00A422C8"/>
    <w:rsid w:val="00A75FA3"/>
    <w:rsid w:val="00A910FA"/>
    <w:rsid w:val="00AF2249"/>
    <w:rsid w:val="00B0004C"/>
    <w:rsid w:val="00B03018"/>
    <w:rsid w:val="00B05BFD"/>
    <w:rsid w:val="00B25134"/>
    <w:rsid w:val="00B4480B"/>
    <w:rsid w:val="00B74E82"/>
    <w:rsid w:val="00B85B35"/>
    <w:rsid w:val="00B93E73"/>
    <w:rsid w:val="00BA61CC"/>
    <w:rsid w:val="00BC1434"/>
    <w:rsid w:val="00C05C32"/>
    <w:rsid w:val="00C1193E"/>
    <w:rsid w:val="00C3496A"/>
    <w:rsid w:val="00C3714C"/>
    <w:rsid w:val="00C56C17"/>
    <w:rsid w:val="00C571D7"/>
    <w:rsid w:val="00C71034"/>
    <w:rsid w:val="00C720CD"/>
    <w:rsid w:val="00C72B6C"/>
    <w:rsid w:val="00CD590B"/>
    <w:rsid w:val="00CE6A88"/>
    <w:rsid w:val="00D12E32"/>
    <w:rsid w:val="00D1698D"/>
    <w:rsid w:val="00D22BB7"/>
    <w:rsid w:val="00D31F17"/>
    <w:rsid w:val="00D85D5F"/>
    <w:rsid w:val="00DE66B2"/>
    <w:rsid w:val="00E005C5"/>
    <w:rsid w:val="00E16512"/>
    <w:rsid w:val="00E20A14"/>
    <w:rsid w:val="00E83106"/>
    <w:rsid w:val="00E839CC"/>
    <w:rsid w:val="00E96B20"/>
    <w:rsid w:val="00EA6A36"/>
    <w:rsid w:val="00ED15F6"/>
    <w:rsid w:val="00ED2F0B"/>
    <w:rsid w:val="00F00274"/>
    <w:rsid w:val="00F01EEA"/>
    <w:rsid w:val="00F029DC"/>
    <w:rsid w:val="00F177AC"/>
    <w:rsid w:val="00F2644A"/>
    <w:rsid w:val="00FA0A49"/>
    <w:rsid w:val="00FA5F3B"/>
    <w:rsid w:val="00FC54DD"/>
    <w:rsid w:val="00FD040C"/>
    <w:rsid w:val="00FD0558"/>
    <w:rsid w:val="00FD470B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47B6"/>
  <w15:chartTrackingRefBased/>
  <w15:docId w15:val="{0C8C8612-90AD-477C-8658-59AEF86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0B"/>
    <w:pPr>
      <w:contextualSpacing/>
    </w:pPr>
    <w:rPr>
      <w:rFonts w:cstheme="minorHAnsi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"/>
    <w:basedOn w:val="Normalny"/>
    <w:link w:val="AkapitzlistZnak"/>
    <w:uiPriority w:val="34"/>
    <w:qFormat/>
    <w:rsid w:val="00A910FA"/>
    <w:pPr>
      <w:numPr>
        <w:numId w:val="9"/>
      </w:numPr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  <w:rPr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80B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80B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80B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80B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4480B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480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48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480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B448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480B"/>
    <w:rPr>
      <w:rFonts w:cstheme="minorHAnsi"/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B4480B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80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80B"/>
    <w:rPr>
      <w:rFonts w:cstheme="minorHAnsi"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B4480B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4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0B"/>
    <w:rPr>
      <w:rFonts w:cstheme="minorHAnsi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0B"/>
    <w:rPr>
      <w:rFonts w:cstheme="minorHAnsi"/>
      <w:kern w:val="0"/>
      <w:sz w:val="24"/>
      <w:szCs w:val="24"/>
      <w14:ligatures w14:val="none"/>
    </w:rPr>
  </w:style>
  <w:style w:type="paragraph" w:customStyle="1" w:styleId="Tekstpodstawowy31">
    <w:name w:val="Tekst podstawowy 31"/>
    <w:basedOn w:val="Normalny"/>
    <w:rsid w:val="003A33F9"/>
    <w:pPr>
      <w:contextualSpacing w:val="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418A1"/>
    <w:pPr>
      <w:widowControl w:val="0"/>
      <w:spacing w:after="0" w:line="240" w:lineRule="auto"/>
      <w:contextualSpacing w:val="0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18A1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7B3"/>
    <w:rPr>
      <w:rFonts w:cstheme="minorHAns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7B3"/>
    <w:rPr>
      <w:rFonts w:cstheme="minorHAnsi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B07B3"/>
    <w:pPr>
      <w:spacing w:after="0" w:line="240" w:lineRule="auto"/>
    </w:pPr>
    <w:rPr>
      <w:rFonts w:cstheme="minorHAnsi"/>
      <w:kern w:val="0"/>
      <w:sz w:val="24"/>
      <w:szCs w:val="24"/>
      <w14:ligatures w14:val="none"/>
    </w:rPr>
  </w:style>
  <w:style w:type="numbering" w:customStyle="1" w:styleId="Styl2-absolwent">
    <w:name w:val="Styl2 - absolwent"/>
    <w:uiPriority w:val="99"/>
    <w:rsid w:val="003362A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0768-3331-4D58-89BA-F5AEF755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Czupryniak Agnieszka</dc:creator>
  <cp:keywords/>
  <dc:description/>
  <cp:lastModifiedBy>Kaca Krzysztof</cp:lastModifiedBy>
  <cp:revision>3</cp:revision>
  <dcterms:created xsi:type="dcterms:W3CDTF">2024-04-25T13:28:00Z</dcterms:created>
  <dcterms:modified xsi:type="dcterms:W3CDTF">2024-04-26T08:21:00Z</dcterms:modified>
</cp:coreProperties>
</file>