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5157" w14:textId="4DAA6DDF" w:rsidR="00417B57" w:rsidRPr="00D63FEB" w:rsidRDefault="004A1835" w:rsidP="00CA47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63FEB">
        <w:rPr>
          <w:rFonts w:cstheme="minorHAnsi"/>
          <w:sz w:val="24"/>
          <w:szCs w:val="24"/>
        </w:rPr>
        <w:t xml:space="preserve">Załącznik nr 2 do </w:t>
      </w:r>
      <w:r w:rsidR="00815B99" w:rsidRPr="00D63FEB">
        <w:rPr>
          <w:rFonts w:cstheme="minorHAnsi"/>
          <w:sz w:val="24"/>
          <w:szCs w:val="24"/>
        </w:rPr>
        <w:t>Szczegółowych zasad finansowania badań w konkurs</w:t>
      </w:r>
      <w:r w:rsidR="006479BA" w:rsidRPr="00D63FEB">
        <w:rPr>
          <w:rFonts w:cstheme="minorHAnsi"/>
          <w:sz w:val="24"/>
          <w:szCs w:val="24"/>
        </w:rPr>
        <w:t>ie</w:t>
      </w:r>
      <w:r w:rsidR="00815B99" w:rsidRPr="00D63FEB">
        <w:rPr>
          <w:rFonts w:cstheme="minorHAnsi"/>
          <w:sz w:val="24"/>
          <w:szCs w:val="24"/>
        </w:rPr>
        <w:t xml:space="preserve"> „Niepełnosprawność w naukach humanistycznych”</w:t>
      </w:r>
    </w:p>
    <w:p w14:paraId="11F5CE7F" w14:textId="77777777" w:rsidR="00E1687A" w:rsidRPr="00D63FEB" w:rsidRDefault="00E1687A" w:rsidP="00E1687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25C9DBD" w14:textId="3F1B4135" w:rsidR="009E275E" w:rsidRPr="0010327D" w:rsidRDefault="002E36AC" w:rsidP="0010327D">
      <w:pPr>
        <w:pStyle w:val="Nagwek1"/>
      </w:pPr>
      <w:r w:rsidRPr="0010327D">
        <w:t>Przewodnik k</w:t>
      </w:r>
      <w:r w:rsidR="009E275E" w:rsidRPr="0010327D">
        <w:t xml:space="preserve">walifikowalności kosztów w konkursie „Niepełnosprawność </w:t>
      </w:r>
      <w:r w:rsidR="00D63FEB" w:rsidRPr="0010327D">
        <w:br/>
      </w:r>
      <w:r w:rsidR="009E275E" w:rsidRPr="0010327D">
        <w:t>w naukach humanistycznych”</w:t>
      </w:r>
    </w:p>
    <w:p w14:paraId="561C1EA5" w14:textId="77777777" w:rsidR="00FE1AFE" w:rsidRPr="00D63FEB" w:rsidRDefault="00FE1AFE" w:rsidP="00CA4728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Franklin Gothic Medium" w:cstheme="minorHAnsi"/>
          <w:color w:val="000000"/>
          <w:sz w:val="24"/>
          <w:szCs w:val="24"/>
        </w:rPr>
      </w:pPr>
    </w:p>
    <w:p w14:paraId="0FD0889F" w14:textId="4731ABBF" w:rsidR="00FE1AFE" w:rsidRPr="00D63FEB" w:rsidRDefault="00FE1AFE" w:rsidP="00CA4728">
      <w:pPr>
        <w:pStyle w:val="Styl1"/>
        <w:rPr>
          <w:rFonts w:asciiTheme="minorHAnsi" w:hAnsiTheme="minorHAnsi" w:cstheme="minorHAnsi"/>
        </w:rPr>
      </w:pPr>
      <w:bookmarkStart w:id="0" w:name="_GoBack"/>
      <w:r w:rsidRPr="00D63FEB">
        <w:rPr>
          <w:rFonts w:asciiTheme="minorHAnsi" w:hAnsiTheme="minorHAnsi" w:cstheme="minorHAnsi"/>
        </w:rPr>
        <w:t xml:space="preserve">Podstawowe zasady </w:t>
      </w:r>
      <w:bookmarkEnd w:id="0"/>
      <w:r w:rsidRPr="00D63FEB">
        <w:rPr>
          <w:rFonts w:asciiTheme="minorHAnsi" w:hAnsiTheme="minorHAnsi" w:cstheme="minorHAnsi"/>
        </w:rPr>
        <w:t xml:space="preserve">kwalifikowalności kosztów </w:t>
      </w:r>
    </w:p>
    <w:p w14:paraId="391AB942" w14:textId="6A91F07C" w:rsidR="00AF2196" w:rsidRPr="00D63FEB" w:rsidRDefault="009A569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Aby koszt został uznany za kwalifikowalny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,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konieczne jest spełnienie 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łącznie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następujących warunków:</w:t>
      </w:r>
    </w:p>
    <w:p w14:paraId="5141E4A7" w14:textId="36F3FCAA" w:rsidR="00AF2196" w:rsidRPr="00D63FE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koszt został uwzględniony i uzasadniony w budżecie badania</w:t>
      </w:r>
      <w:r w:rsidR="00636057" w:rsidRPr="00D63FEB">
        <w:rPr>
          <w:rFonts w:eastAsia="Franklin Gothic Medium" w:cstheme="minorHAnsi"/>
          <w:sz w:val="24"/>
          <w:szCs w:val="24"/>
        </w:rPr>
        <w:t xml:space="preserve"> </w:t>
      </w:r>
      <w:r w:rsidR="00AF2196" w:rsidRPr="00D63FEB">
        <w:rPr>
          <w:rFonts w:eastAsia="Franklin Gothic Medium" w:cstheme="minorHAnsi"/>
          <w:sz w:val="24"/>
          <w:szCs w:val="24"/>
        </w:rPr>
        <w:t>oraz</w:t>
      </w:r>
      <w:r w:rsidR="00636057" w:rsidRPr="00D63FEB">
        <w:rPr>
          <w:rFonts w:eastAsia="Franklin Gothic Medium" w:cstheme="minorHAnsi"/>
          <w:sz w:val="24"/>
          <w:szCs w:val="24"/>
        </w:rPr>
        <w:t xml:space="preserve"> umieszczony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w umowie zawartej pomiędzy Wnioskodawcą a PFRON,</w:t>
      </w:r>
    </w:p>
    <w:p w14:paraId="67EDC60A" w14:textId="77777777" w:rsidR="00AF2196" w:rsidRPr="00D63FE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koszt został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p</w:t>
      </w:r>
      <w:r w:rsidRPr="00D63FEB">
        <w:rPr>
          <w:rFonts w:eastAsia="Franklin Gothic Medium" w:cstheme="minorHAnsi"/>
          <w:sz w:val="24"/>
          <w:szCs w:val="24"/>
        </w:rPr>
        <w:t>oniesiony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w okresie kwalifikowalności,</w:t>
      </w:r>
    </w:p>
    <w:p w14:paraId="27D352A3" w14:textId="77777777" w:rsidR="00AF2196" w:rsidRPr="00D63FEB" w:rsidRDefault="009A5698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 został należycie udokumentowany i jest możliwy</w:t>
      </w:r>
      <w:r w:rsidR="00AF2196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do zweryfikowania,</w:t>
      </w:r>
    </w:p>
    <w:p w14:paraId="3087FCBF" w14:textId="77777777" w:rsidR="00322C2A" w:rsidRPr="00D63FEB" w:rsidRDefault="001C7C4F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 </w:t>
      </w:r>
      <w:r w:rsidR="008425BD" w:rsidRPr="00D63FEB">
        <w:rPr>
          <w:rFonts w:asciiTheme="minorHAnsi" w:eastAsia="Franklin Gothic Medium" w:hAnsiTheme="minorHAnsi" w:cstheme="minorHAnsi"/>
          <w:sz w:val="24"/>
          <w:szCs w:val="24"/>
        </w:rPr>
        <w:t>był zgodny</w:t>
      </w:r>
      <w:r w:rsidR="00AF2196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z obowiązującymi przepisami prawa</w:t>
      </w:r>
      <w:r w:rsidR="008425BD" w:rsidRPr="00D63FEB">
        <w:rPr>
          <w:rFonts w:asciiTheme="minorHAnsi" w:eastAsia="Franklin Gothic Medium" w:hAnsiTheme="minorHAnsi" w:cstheme="minorHAnsi"/>
          <w:sz w:val="24"/>
          <w:szCs w:val="24"/>
        </w:rPr>
        <w:t>.</w:t>
      </w:r>
    </w:p>
    <w:p w14:paraId="12FD57F0" w14:textId="77777777" w:rsidR="00322C2A" w:rsidRPr="00D63FE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kwalifikowalne ujęte w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badaniu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to koszty obliczone zgodnie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z obowiązującymi zasadami rachunkowości i zasadami należytego zarządzania finansami oraz praktykami Wnioskodawcy (polityka rachunkowości). Każdy</w:t>
      </w:r>
      <w:r w:rsidR="00636057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z Wnioskodawców zobowiązany jest stosować praktyki (wytyczne) przyjęte w jego instytucji. </w:t>
      </w:r>
    </w:p>
    <w:p w14:paraId="04D67149" w14:textId="4E66CB80" w:rsidR="00086AA3" w:rsidRPr="00D63FE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14:paraId="5F57345F" w14:textId="77777777" w:rsidR="00FE1AFE" w:rsidRPr="00D63FE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b/>
          <w:color w:val="000000"/>
          <w:sz w:val="24"/>
          <w:szCs w:val="24"/>
        </w:rPr>
      </w:pPr>
    </w:p>
    <w:p w14:paraId="2F8105D1" w14:textId="5E49A6D0" w:rsidR="00FE1AFE" w:rsidRPr="00D63FEB" w:rsidRDefault="00FE1AFE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Ramy czasowe kwalifikowalności </w:t>
      </w:r>
    </w:p>
    <w:p w14:paraId="4E28D8CF" w14:textId="4EEC6935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14:paraId="10125E62" w14:textId="7BE0F4EB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Okres kwalifikowania kosztów dla danego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jest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określony w umowie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 xml:space="preserve">o dofinansowanie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2BBB9FA2" w14:textId="03479701" w:rsidR="002E36AC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14:paraId="57E7CF02" w14:textId="7DE05077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14:paraId="72FD72AA" w14:textId="34F5BBF1" w:rsidR="00FE1AFE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Wszystkie wykazane w rozliczeniu koszty muszą być faktycznie poniesione i opłacone w terminie do 30 dni od dnia zakończenia realizacji</w:t>
      </w:r>
      <w:r w:rsidR="00AA0CDC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badania</w:t>
      </w:r>
      <w:r w:rsidR="00636057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, czyli przesłania artykułu do publikacji potwierdzone kopią maila wysłanego do wybranego czasopisma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0024D607" w14:textId="77777777" w:rsidR="00FE1AFE" w:rsidRPr="00D63FE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</w:p>
    <w:p w14:paraId="20337E2C" w14:textId="66B18C85" w:rsidR="00FE1AFE" w:rsidRPr="00D63FEB" w:rsidRDefault="00350595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>Koszty niekwalifikowalne</w:t>
      </w:r>
    </w:p>
    <w:p w14:paraId="1D9411F8" w14:textId="467CDD78" w:rsidR="00350595" w:rsidRPr="00D63FEB" w:rsidRDefault="00350595" w:rsidP="00CA4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Za koszty niekwalifikowalne uważa się:</w:t>
      </w:r>
    </w:p>
    <w:p w14:paraId="54822159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poniesione poza okresem kwalifikowalności,</w:t>
      </w:r>
    </w:p>
    <w:p w14:paraId="1F462D66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nieudokumentowane lub nienależycie udokumentowane,</w:t>
      </w:r>
    </w:p>
    <w:p w14:paraId="62486244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lastRenderedPageBreak/>
        <w:t>p</w:t>
      </w:r>
      <w:r w:rsidR="005C4AD0" w:rsidRPr="00D63FEB">
        <w:rPr>
          <w:rFonts w:asciiTheme="minorHAnsi" w:eastAsia="Franklin Gothic Medium" w:hAnsiTheme="minorHAnsi" w:cstheme="minorHAnsi"/>
          <w:sz w:val="24"/>
          <w:szCs w:val="24"/>
        </w:rPr>
        <w:t>odatek od towarów i usług (VAT)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>, który w świetle prawa może być odzyskany,</w:t>
      </w:r>
    </w:p>
    <w:p w14:paraId="0DEEBE19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grzywny, mandaty, kary finansowe, opłaty i odsetki karne,</w:t>
      </w:r>
    </w:p>
    <w:p w14:paraId="1AFF6E12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rezerwy na pokrycie przyszłych strat lub zobowiązań,</w:t>
      </w:r>
    </w:p>
    <w:p w14:paraId="542E69BA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odsetki, prowizje i inne koszty pożyczek i kredytów, </w:t>
      </w:r>
    </w:p>
    <w:p w14:paraId="139ADF76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poniesione na przygotowanie wniosku,</w:t>
      </w:r>
    </w:p>
    <w:p w14:paraId="377B7202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procedur związanych z nadaniem stopnia/tytułu naukowego,</w:t>
      </w:r>
    </w:p>
    <w:p w14:paraId="15D17CCA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wydania publikacji, koszty honorariów z tytułu recenzji wydawniczych, </w:t>
      </w:r>
    </w:p>
    <w:p w14:paraId="20ACFE7E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zakupu sprzętu informatyczno-biurowego (np. komputer, koszty licencji i wytworzenia oprogramowania, drukarka, skaner, monitor, kserokopiarka),</w:t>
      </w:r>
    </w:p>
    <w:p w14:paraId="27ABE897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organizacji konferencji, warsztatów, seminariów, spotkań,</w:t>
      </w:r>
    </w:p>
    <w:p w14:paraId="0906A0E8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usług zlecanych w zakresie zadań merytorycznych,</w:t>
      </w:r>
    </w:p>
    <w:p w14:paraId="5E5792A9" w14:textId="77777777" w:rsidR="00563A91" w:rsidRPr="00D63FEB" w:rsidRDefault="00563A91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składki członkowskie od osób fizycznych w organizacjach, stowarzyszeniach itp.,</w:t>
      </w:r>
    </w:p>
    <w:p w14:paraId="60A247F1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poniższe składniki płacowe i pozapłacowe wynagrodzeń:</w:t>
      </w:r>
    </w:p>
    <w:p w14:paraId="4CAECDA1" w14:textId="77777777" w:rsidR="00350595" w:rsidRPr="00D63FEB" w:rsidRDefault="00350595" w:rsidP="00D63FE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nagrody jubileuszowe,</w:t>
      </w:r>
    </w:p>
    <w:p w14:paraId="69137499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ekwiwalent za niewykorzystany urlop wypoczynkowy,</w:t>
      </w:r>
    </w:p>
    <w:p w14:paraId="2A6D0CFE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składka na grupowe ubezpieczenie na życie - traktowana jako przychód pracownika opodatkowany,</w:t>
      </w:r>
    </w:p>
    <w:p w14:paraId="349825F8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świadczeń medycznych,</w:t>
      </w:r>
    </w:p>
    <w:p w14:paraId="4BF56FB0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ekwiwalent pieniężny (np.: ulgowa odpłatność za energię elektryczną),</w:t>
      </w:r>
    </w:p>
    <w:p w14:paraId="21CA8F8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energii elektrycznej (traktowana jako przychód pracownika opodatkowany),</w:t>
      </w:r>
    </w:p>
    <w:p w14:paraId="72F1DB2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używanie samochodu służbowego - dojazd do pracy z miejsca zamieszkania,</w:t>
      </w:r>
    </w:p>
    <w:p w14:paraId="43724E13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dofinansowanie wypłacone z ZFŚS (przychód pracownika opodatkowany),</w:t>
      </w:r>
    </w:p>
    <w:p w14:paraId="132A0B24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zasiłki finansowane ze środków ZUS (np. macierzyński),</w:t>
      </w:r>
    </w:p>
    <w:p w14:paraId="4EFA2E8E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wynagrodzenie za pracę w godzinach nadliczbowych,</w:t>
      </w:r>
    </w:p>
    <w:p w14:paraId="6ED8EC8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badań okresowych i wstępnych,</w:t>
      </w:r>
    </w:p>
    <w:p w14:paraId="12F7DDC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okularów,</w:t>
      </w:r>
    </w:p>
    <w:p w14:paraId="4A04CF9F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dodatki za znajomość języków, za niepalenie i inne dodatki tego typu ustalone przez pracodawcę,</w:t>
      </w:r>
    </w:p>
    <w:p w14:paraId="359DF1E9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bony żywieniowe dla pracowników,</w:t>
      </w:r>
    </w:p>
    <w:p w14:paraId="075647BF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60" w:line="240" w:lineRule="auto"/>
        <w:ind w:left="1191" w:hanging="357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składki na Państwowy Fundusz Rehabilitacji Osób Niepełnosprawnych.</w:t>
      </w:r>
    </w:p>
    <w:p w14:paraId="140B2489" w14:textId="5B02D8A8" w:rsidR="00350595" w:rsidRPr="00D63FEB" w:rsidRDefault="00350595" w:rsidP="00CA4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niekwalifikowalne nie mogą stanowić całości ani części wymaganego wkładu własnego Wykonawc</w:t>
      </w:r>
      <w:r w:rsidR="00E738FD" w:rsidRPr="00D63FEB">
        <w:rPr>
          <w:rFonts w:asciiTheme="minorHAnsi" w:eastAsia="Franklin Gothic Medium" w:hAnsiTheme="minorHAnsi" w:cstheme="minorHAnsi"/>
          <w:sz w:val="24"/>
          <w:szCs w:val="24"/>
        </w:rPr>
        <w:t>y/Partnera realizującego badanie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oraz nie mogą zostać sfinansowane ze środków PFRON.</w:t>
      </w:r>
    </w:p>
    <w:p w14:paraId="0A854D73" w14:textId="77777777" w:rsidR="00350595" w:rsidRPr="00D63FEB" w:rsidRDefault="00350595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sz w:val="24"/>
          <w:szCs w:val="24"/>
        </w:rPr>
      </w:pPr>
    </w:p>
    <w:p w14:paraId="36F8F8AA" w14:textId="60481929" w:rsidR="00350595" w:rsidRPr="00D63FEB" w:rsidRDefault="00350595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Koszty kwalifikowalne </w:t>
      </w:r>
    </w:p>
    <w:p w14:paraId="26767AF7" w14:textId="1C49B6AE" w:rsidR="00086AA3" w:rsidRPr="00D63FEB" w:rsidRDefault="00FB6CA5" w:rsidP="00CA472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kwalifikowalne ponoszone przez podmiot realizujący badanie dzielą się na koszty pośrednie i koszty bezpośrednie. </w:t>
      </w:r>
    </w:p>
    <w:p w14:paraId="2A582947" w14:textId="7E8A8506" w:rsidR="0024357E" w:rsidRPr="00D63FEB" w:rsidRDefault="0024357E" w:rsidP="00D63F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bezpośrednie to koszty bezpośrednio związane z realizacją badania. </w:t>
      </w:r>
    </w:p>
    <w:p w14:paraId="13345094" w14:textId="5D072637" w:rsidR="00086AA3" w:rsidRPr="00D63FEB" w:rsidRDefault="00FB6CA5" w:rsidP="00D63F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pośrednie to koszty pośrednio związane z realizacją badania, niezbędne do prawidłowej realizacji umowy o finansowanie. </w:t>
      </w:r>
      <w:r w:rsidR="001C7C4F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Ryczałtowa 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>wysokość kosztów pośrednich to 10% kosztów bezpośrednich.</w:t>
      </w:r>
      <w:r w:rsidR="007F0FEB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</w:p>
    <w:p w14:paraId="5903F1B1" w14:textId="7FCFE594" w:rsidR="00E738FD" w:rsidRPr="00D63FEB" w:rsidRDefault="00723A5C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Bezpośrednie</w:t>
      </w:r>
      <w:r w:rsidR="00FB6CA5" w:rsidRPr="00D63FEB">
        <w:rPr>
          <w:rFonts w:eastAsia="Franklin Gothic Medium" w:cstheme="minorHAnsi"/>
          <w:sz w:val="24"/>
          <w:szCs w:val="24"/>
        </w:rPr>
        <w:t xml:space="preserve"> kwalifikowalne koszty to w szczególności: </w:t>
      </w:r>
    </w:p>
    <w:p w14:paraId="075BE86C" w14:textId="579E142B" w:rsidR="00086AA3" w:rsidRPr="00D63FEB" w:rsidRDefault="00CE0151" w:rsidP="005F40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osobowe</w:t>
      </w:r>
      <w:r w:rsidR="00350595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personelu merytorycznego</w:t>
      </w:r>
      <w:r w:rsidR="00813BB3" w:rsidRPr="00D63FEB">
        <w:rPr>
          <w:rFonts w:asciiTheme="minorHAnsi" w:eastAsia="Franklin Gothic Medium" w:hAnsiTheme="minorHAnsi" w:cstheme="minorHAnsi"/>
          <w:sz w:val="24"/>
          <w:szCs w:val="24"/>
        </w:rPr>
        <w:t>.</w:t>
      </w:r>
      <w:r w:rsidR="00350595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</w:p>
    <w:p w14:paraId="6BF037E5" w14:textId="7A92D17A" w:rsidR="00086AA3" w:rsidRPr="00D63FEB" w:rsidRDefault="00350595" w:rsidP="005F40CE">
      <w:pPr>
        <w:autoSpaceDE w:val="0"/>
        <w:autoSpaceDN w:val="0"/>
        <w:adjustRightInd w:val="0"/>
        <w:spacing w:after="60" w:line="240" w:lineRule="auto"/>
        <w:ind w:left="851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lastRenderedPageBreak/>
        <w:t>W ramach kategorii kwalifikowalne są koszty wyna</w:t>
      </w:r>
      <w:r w:rsidR="008425BD" w:rsidRPr="00D63FEB">
        <w:rPr>
          <w:rFonts w:eastAsia="Franklin Gothic Medium" w:cstheme="minorHAnsi"/>
          <w:color w:val="000000"/>
          <w:sz w:val="24"/>
          <w:szCs w:val="24"/>
        </w:rPr>
        <w:t>grodzeń osoby/osób realizującej badani</w:t>
      </w:r>
      <w:r w:rsidR="000023BA" w:rsidRPr="00D63FEB">
        <w:rPr>
          <w:rFonts w:eastAsia="Franklin Gothic Medium" w:cstheme="minorHAnsi"/>
          <w:color w:val="000000"/>
          <w:sz w:val="24"/>
          <w:szCs w:val="24"/>
        </w:rPr>
        <w:t>e,</w:t>
      </w: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 w tym składk</w:t>
      </w:r>
      <w:r w:rsidR="00CD68DB" w:rsidRPr="00D63FEB">
        <w:rPr>
          <w:rFonts w:eastAsia="Franklin Gothic Medium" w:cstheme="minorHAnsi"/>
          <w:color w:val="000000"/>
          <w:sz w:val="24"/>
          <w:szCs w:val="24"/>
        </w:rPr>
        <w:t>i</w:t>
      </w: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 na ubezpieczenia społeczne </w:t>
      </w:r>
      <w:r w:rsidR="00D2214E" w:rsidRPr="00D63FEB">
        <w:rPr>
          <w:rFonts w:eastAsia="Franklin Gothic Medium" w:cstheme="minorHAnsi"/>
          <w:color w:val="000000"/>
          <w:sz w:val="24"/>
          <w:szCs w:val="24"/>
        </w:rPr>
        <w:t>i zdrowotne</w:t>
      </w:r>
      <w:r w:rsidRPr="00D63FEB">
        <w:rPr>
          <w:rFonts w:eastAsia="Franklin Gothic Medium" w:cstheme="minorHAnsi"/>
          <w:color w:val="000000"/>
          <w:sz w:val="24"/>
          <w:szCs w:val="24"/>
        </w:rPr>
        <w:t>.</w:t>
      </w:r>
    </w:p>
    <w:p w14:paraId="799D4306" w14:textId="66788EDC" w:rsidR="00086AA3" w:rsidRPr="00D63FEB" w:rsidRDefault="00350595" w:rsidP="005F40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851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podróży służbowych osoby/osób realizujących badanie</w:t>
      </w:r>
      <w:r w:rsidR="00813BB3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212140AE" w14:textId="3C3AF203" w:rsidR="00086AA3" w:rsidRPr="00D63FEB" w:rsidRDefault="00350595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 xml:space="preserve">tej </w:t>
      </w:r>
      <w:r w:rsidRPr="00D63FEB">
        <w:rPr>
          <w:rFonts w:eastAsia="Times New Roman" w:cstheme="minorHAnsi"/>
          <w:sz w:val="24"/>
          <w:szCs w:val="24"/>
          <w:lang w:eastAsia="pl-PL"/>
        </w:rPr>
        <w:t>kategorii kwalifikowalne s</w:t>
      </w:r>
      <w:r w:rsidR="00377198" w:rsidRPr="00D63FEB">
        <w:rPr>
          <w:rFonts w:eastAsia="Times New Roman" w:cstheme="minorHAnsi"/>
          <w:sz w:val="24"/>
          <w:szCs w:val="24"/>
          <w:lang w:eastAsia="pl-PL"/>
        </w:rPr>
        <w:t>ą związane z realizacją badania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koszty podróży służbowych poza miejscowoś</w:t>
      </w:r>
      <w:r w:rsidR="00636057" w:rsidRPr="00D63FEB">
        <w:rPr>
          <w:rFonts w:eastAsia="Times New Roman" w:cstheme="minorHAnsi"/>
          <w:sz w:val="24"/>
          <w:szCs w:val="24"/>
          <w:lang w:eastAsia="pl-PL"/>
        </w:rPr>
        <w:t>ć</w:t>
      </w:r>
      <w:r w:rsidRPr="00D63FEB">
        <w:rPr>
          <w:rFonts w:eastAsia="Times New Roman" w:cstheme="minorHAnsi"/>
          <w:sz w:val="24"/>
          <w:szCs w:val="24"/>
          <w:lang w:eastAsia="pl-PL"/>
        </w:rPr>
        <w:t>, w której znajduje się siedziba pracodawcy lub poza stałym miejscem pracy pracownika oraz związane z nimi koszt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>y wyżywienia i zakwaterowania osoby/osób przeprowadzających badanie</w:t>
      </w:r>
      <w:r w:rsidR="00354461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>wg</w:t>
      </w:r>
      <w:r w:rsidR="00354461" w:rsidRPr="00D63FEB">
        <w:rPr>
          <w:rFonts w:eastAsia="Times New Roman" w:cstheme="minorHAnsi"/>
          <w:sz w:val="24"/>
          <w:szCs w:val="24"/>
          <w:lang w:eastAsia="pl-PL"/>
        </w:rPr>
        <w:t xml:space="preserve"> zasad dot. delegacji służbowych.</w:t>
      </w:r>
      <w:r w:rsidR="00354461" w:rsidRPr="00D63FEB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13BB24A9" w14:textId="3A0D7493" w:rsidR="00350595" w:rsidRPr="00D63FEB" w:rsidRDefault="00CA2A13" w:rsidP="005F40CE">
      <w:pPr>
        <w:pStyle w:val="Akapitzlist"/>
        <w:numPr>
          <w:ilvl w:val="0"/>
          <w:numId w:val="32"/>
        </w:numPr>
        <w:spacing w:after="6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350595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oszty materiałów potrzebnych do przeprowadzenia badania</w:t>
      </w:r>
      <w:r w:rsidR="00813BB3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D7A2BE2" w14:textId="00A02E84" w:rsidR="00350595" w:rsidRPr="00D63FEB" w:rsidRDefault="00350595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 xml:space="preserve">tej </w:t>
      </w:r>
      <w:r w:rsidRPr="00D63FEB">
        <w:rPr>
          <w:rFonts w:eastAsia="Times New Roman" w:cstheme="minorHAnsi"/>
          <w:sz w:val="24"/>
          <w:szCs w:val="24"/>
          <w:lang w:eastAsia="pl-PL"/>
        </w:rPr>
        <w:t>kategorii kosztów kwalifikowalnych wlicza się</w:t>
      </w:r>
      <w:r w:rsidR="00636057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zakup materiałów koniecz</w:t>
      </w:r>
      <w:r w:rsidR="00723A5C" w:rsidRPr="00D63FEB">
        <w:rPr>
          <w:rFonts w:eastAsia="Times New Roman" w:cstheme="minorHAnsi"/>
          <w:sz w:val="24"/>
          <w:szCs w:val="24"/>
          <w:lang w:eastAsia="pl-PL"/>
        </w:rPr>
        <w:t>nych do przeprowadzenia badania, w tym:</w:t>
      </w:r>
      <w:r w:rsidR="00A04478" w:rsidRPr="00D63FEB">
        <w:rPr>
          <w:rFonts w:eastAsia="Times New Roman" w:cstheme="minorHAnsi"/>
          <w:sz w:val="24"/>
          <w:szCs w:val="24"/>
          <w:lang w:eastAsia="pl-PL"/>
        </w:rPr>
        <w:t xml:space="preserve"> książek</w:t>
      </w:r>
      <w:r w:rsidRPr="00D63FEB">
        <w:rPr>
          <w:rFonts w:eastAsia="Times New Roman" w:cstheme="minorHAnsi"/>
          <w:sz w:val="24"/>
          <w:szCs w:val="24"/>
          <w:lang w:eastAsia="pl-PL"/>
        </w:rPr>
        <w:t>, materiałów audiowizualnyc</w:t>
      </w:r>
      <w:r w:rsidR="00A04478" w:rsidRPr="00D63FEB">
        <w:rPr>
          <w:rFonts w:eastAsia="Times New Roman" w:cstheme="minorHAnsi"/>
          <w:sz w:val="24"/>
          <w:szCs w:val="24"/>
          <w:lang w:eastAsia="pl-PL"/>
        </w:rPr>
        <w:t>h, czasopism,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dostęp</w:t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u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do baz czasopism naukowych</w:t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, subskrypcji i prenumerat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 xml:space="preserve"> oraz opłat wstępu do instytucji kultury</w:t>
      </w:r>
      <w:r w:rsidR="00D2214E" w:rsidRPr="00D63FE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, o ile są one konieczne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 xml:space="preserve"> do przeprowadzenia badania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2F23154" w14:textId="207F81F6" w:rsidR="00350595" w:rsidRPr="00D63FEB" w:rsidRDefault="00A04478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>Po ukończeniu badania z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>akupione książki, materiały audiowizua</w:t>
      </w:r>
      <w:r w:rsidRPr="00D63FEB">
        <w:rPr>
          <w:rFonts w:eastAsia="Times New Roman" w:cstheme="minorHAnsi"/>
          <w:sz w:val="24"/>
          <w:szCs w:val="24"/>
          <w:lang w:eastAsia="pl-PL"/>
        </w:rPr>
        <w:t>lne oraz czasopisma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4AD0" w:rsidRPr="00D63FEB">
        <w:rPr>
          <w:rFonts w:eastAsia="Times New Roman" w:cstheme="minorHAnsi"/>
          <w:sz w:val="24"/>
          <w:szCs w:val="24"/>
          <w:lang w:eastAsia="pl-PL"/>
        </w:rPr>
        <w:t>należy przekazać do biblioteki W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 xml:space="preserve">nioskodawcy. </w:t>
      </w:r>
    </w:p>
    <w:p w14:paraId="56A979E8" w14:textId="313DFF66" w:rsidR="00CA2A13" w:rsidRPr="00D63FEB" w:rsidRDefault="00CA2A13" w:rsidP="005F40CE">
      <w:pPr>
        <w:pStyle w:val="Akapitzlist"/>
        <w:numPr>
          <w:ilvl w:val="0"/>
          <w:numId w:val="32"/>
        </w:numPr>
        <w:spacing w:after="6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</w:t>
      </w:r>
      <w:r w:rsidR="005D7721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konferencyjn</w:t>
      </w:r>
      <w:r w:rsidR="005D7721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813BB3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30AE0A7" w14:textId="262B5DC6" w:rsidR="00E6102E" w:rsidRPr="00D63FEB" w:rsidRDefault="00CA2A13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W ramach kategorii kwalifikowalne </w:t>
      </w:r>
      <w:r w:rsidR="005D7721" w:rsidRPr="00D63FEB">
        <w:rPr>
          <w:rFonts w:eastAsia="Times New Roman" w:cstheme="minorHAnsi"/>
          <w:sz w:val="24"/>
          <w:szCs w:val="24"/>
          <w:lang w:eastAsia="pl-PL"/>
        </w:rPr>
        <w:t>znajdują się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opłaty konferencyjne. Osoba realizująca badanie może pokryć koszt udziału w konferencji, podczas której zaprezentuje wyniki przeprowadzonego w ramach wniosku badania, a także udział w konferencji, któr</w:t>
      </w:r>
      <w:r w:rsidR="00322C2A" w:rsidRPr="00D63FEB">
        <w:rPr>
          <w:rFonts w:eastAsia="Times New Roman" w:cstheme="minorHAnsi"/>
          <w:sz w:val="24"/>
          <w:szCs w:val="24"/>
          <w:lang w:eastAsia="pl-PL"/>
        </w:rPr>
        <w:t>a</w:t>
      </w:r>
      <w:r w:rsidR="00B97211" w:rsidRPr="00D63FEB">
        <w:rPr>
          <w:rFonts w:eastAsia="Times New Roman" w:cstheme="minorHAnsi"/>
          <w:sz w:val="24"/>
          <w:szCs w:val="24"/>
          <w:lang w:eastAsia="pl-PL"/>
        </w:rPr>
        <w:t xml:space="preserve"> jest konieczna dla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przeprowadzeni</w:t>
      </w:r>
      <w:r w:rsidR="00B97211" w:rsidRPr="00D63FEB">
        <w:rPr>
          <w:rFonts w:eastAsia="Times New Roman" w:cstheme="minorHAnsi"/>
          <w:sz w:val="24"/>
          <w:szCs w:val="24"/>
          <w:lang w:eastAsia="pl-PL"/>
        </w:rPr>
        <w:t>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badania. </w:t>
      </w:r>
    </w:p>
    <w:p w14:paraId="4B6CF183" w14:textId="77777777" w:rsidR="00E6102E" w:rsidRPr="00D63FEB" w:rsidRDefault="00E6102E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Koszt kwalifikowalny stanowią poniższe składniki płacowe i pozapłacowe wynagrodzenia personelu, proporcjonalnie do zaangażowania pracownika w projekcie:</w:t>
      </w:r>
    </w:p>
    <w:p w14:paraId="2D7A1ADD" w14:textId="77777777" w:rsidR="00E6102E" w:rsidRPr="00D63FE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zasadnicze;</w:t>
      </w:r>
    </w:p>
    <w:p w14:paraId="406555D2" w14:textId="77777777" w:rsidR="00E6102E" w:rsidRPr="00D63FE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narzuty na wynagrodzenia po stronie pracodawcy, w tym:</w:t>
      </w:r>
    </w:p>
    <w:p w14:paraId="0A9A2259" w14:textId="327BB749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emerytalna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562467A1" w14:textId="4F332D15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rentowa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4DA86746" w14:textId="795555FE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wypadkowa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508ED5D3" w14:textId="59D0E988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Fundusz Gwarantowanych Świadczeń Pracowniczych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12ADE0FD" w14:textId="3E9BF4C7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Fundusz Pracy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339CFB84" w14:textId="77777777" w:rsidR="00E6102E" w:rsidRPr="00D63FEB" w:rsidRDefault="00E6102E" w:rsidP="005F40CE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narzuty na wynagrodzenia po stronie pracownika, w tym:</w:t>
      </w:r>
    </w:p>
    <w:p w14:paraId="2869B3DF" w14:textId="000A3F21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emerytalne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7A263F56" w14:textId="24247762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rentowe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2858B177" w14:textId="2604AC64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chorobowe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6D9CF95F" w14:textId="1C564BE0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zdrowotna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3A1794DE" w14:textId="4BCEB086" w:rsidR="00E6102E" w:rsidRPr="00D63FEB" w:rsidRDefault="00E6102E" w:rsidP="005F40CE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zaliczka na podatek dochodowy,</w:t>
      </w:r>
    </w:p>
    <w:p w14:paraId="35B6DD18" w14:textId="47FC5678" w:rsidR="00E6102E" w:rsidRPr="00D63FEB" w:rsidRDefault="00E6102E" w:rsidP="005F40CE">
      <w:pPr>
        <w:numPr>
          <w:ilvl w:val="0"/>
          <w:numId w:val="20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14:paraId="434CB065" w14:textId="041C1489" w:rsidR="00E6102E" w:rsidRPr="00D63FEB" w:rsidRDefault="00E6102E" w:rsidP="005F40CE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 okres urlopu wypoczynkowego,</w:t>
      </w:r>
    </w:p>
    <w:p w14:paraId="15BB3F02" w14:textId="1393CE8F" w:rsidR="00E6102E" w:rsidRPr="00D63FEB" w:rsidRDefault="00E6102E" w:rsidP="005F40CE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odpisy na Zakładowy Fundusz Świadczeń Socjalnych. </w:t>
      </w:r>
    </w:p>
    <w:p w14:paraId="050617FD" w14:textId="334C6B40" w:rsidR="00723A5C" w:rsidRPr="00D63FEB" w:rsidRDefault="00FB6CA5" w:rsidP="00D63FEB">
      <w:pPr>
        <w:pStyle w:val="Akapitzlist"/>
        <w:numPr>
          <w:ilvl w:val="1"/>
          <w:numId w:val="30"/>
        </w:numPr>
        <w:spacing w:before="120"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lastRenderedPageBreak/>
        <w:t>Z k</w:t>
      </w:r>
      <w:r w:rsidR="00CA2A13" w:rsidRPr="00D63FEB">
        <w:rPr>
          <w:rFonts w:eastAsia="Times New Roman" w:cstheme="minorHAnsi"/>
          <w:sz w:val="24"/>
          <w:szCs w:val="24"/>
          <w:lang w:eastAsia="pl-PL"/>
        </w:rPr>
        <w:t>osztów pośrednich mogą być finansowane poniższe wydatki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AA1B78A" w14:textId="39BFA835" w:rsidR="00354461" w:rsidRPr="00D63FEB" w:rsidRDefault="00354461" w:rsidP="005F40CE">
      <w:pPr>
        <w:pStyle w:val="Akapitzlist"/>
        <w:numPr>
          <w:ilvl w:val="0"/>
          <w:numId w:val="32"/>
        </w:numPr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administracyjne, w tym: </w:t>
      </w:r>
    </w:p>
    <w:p w14:paraId="590B1A80" w14:textId="1D924F08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wynajmu lub utrzymania budynków, w tym: koszty wynajmu, czynszu, sprzątania i ochrony pomieszczeń,</w:t>
      </w:r>
    </w:p>
    <w:p w14:paraId="1A047386" w14:textId="1613E4C7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14:paraId="37D0990C" w14:textId="28C45182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usługi pocztowe, telefoniczne, internetowe, kurierskie,</w:t>
      </w:r>
    </w:p>
    <w:p w14:paraId="588C3222" w14:textId="5717693E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materiałów biurowych i piśmienniczych, usług drukarskich i ksero,</w:t>
      </w:r>
    </w:p>
    <w:p w14:paraId="156C14DA" w14:textId="176B118E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urządzeń i sprzętu biurowego,</w:t>
      </w:r>
    </w:p>
    <w:p w14:paraId="6E68A225" w14:textId="7E967F23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ubezpieczeń majątkowych,</w:t>
      </w:r>
    </w:p>
    <w:p w14:paraId="3F215310" w14:textId="70998226" w:rsidR="00FB6CA5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prowadzenia wyodrębnionego rachunku bankowego (prowizje i inne opłaty)</w:t>
      </w:r>
      <w:r w:rsidR="00E1687A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7C7C5CC2" w14:textId="40552E15" w:rsidR="00FB6CA5" w:rsidRPr="00D63FEB" w:rsidRDefault="007F0FEB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Koszty pośrednie rozliczane są ryczałtem. </w:t>
      </w:r>
      <w:r w:rsidR="00FB6CA5" w:rsidRPr="00D63FEB">
        <w:rPr>
          <w:rFonts w:eastAsia="Franklin Gothic Medium" w:cstheme="minorHAnsi"/>
          <w:color w:val="000000"/>
          <w:sz w:val="24"/>
          <w:szCs w:val="24"/>
        </w:rPr>
        <w:t xml:space="preserve"> </w:t>
      </w:r>
    </w:p>
    <w:p w14:paraId="49FF7769" w14:textId="5430B280" w:rsidR="00CE0151" w:rsidRPr="00D63FEB" w:rsidRDefault="00CE0151" w:rsidP="00D63FEB">
      <w:pPr>
        <w:pStyle w:val="Akapitzlist"/>
        <w:numPr>
          <w:ilvl w:val="1"/>
          <w:numId w:val="30"/>
        </w:numPr>
        <w:spacing w:before="60" w:after="0" w:line="240" w:lineRule="auto"/>
        <w:ind w:left="709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Wnioskodawca zobowiązany jest przedstawić we wniosku informacje pozwalające na dokonanie oceny kwalifikowalności kosztów</w:t>
      </w:r>
      <w:r w:rsidR="00CC4CD4" w:rsidRPr="00D63FEB">
        <w:rPr>
          <w:rFonts w:eastAsia="Franklin Gothic Medium" w:cstheme="minorHAnsi"/>
          <w:sz w:val="24"/>
          <w:szCs w:val="24"/>
        </w:rPr>
        <w:t xml:space="preserve"> bezpośrednich</w:t>
      </w:r>
      <w:r w:rsidRPr="00D63FEB">
        <w:rPr>
          <w:rFonts w:eastAsia="Franklin Gothic Medium" w:cstheme="minorHAnsi"/>
          <w:sz w:val="24"/>
          <w:szCs w:val="24"/>
        </w:rPr>
        <w:t>, w tym informacje odnoszące się do podstawy wyliczenia kosztów.</w:t>
      </w:r>
    </w:p>
    <w:p w14:paraId="6894D793" w14:textId="77777777" w:rsidR="00860EAE" w:rsidRPr="00D63FEB" w:rsidRDefault="00860EAE" w:rsidP="00CA4728">
      <w:pPr>
        <w:spacing w:after="0" w:line="240" w:lineRule="auto"/>
        <w:jc w:val="both"/>
        <w:rPr>
          <w:rFonts w:eastAsia="Franklin Gothic Medium" w:cstheme="minorHAnsi"/>
          <w:sz w:val="24"/>
          <w:szCs w:val="24"/>
        </w:rPr>
      </w:pPr>
    </w:p>
    <w:p w14:paraId="311F19D7" w14:textId="16B70F31" w:rsidR="00860EAE" w:rsidRPr="00D63FEB" w:rsidRDefault="00860EAE" w:rsidP="005F40CE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Wkład własny </w:t>
      </w:r>
    </w:p>
    <w:p w14:paraId="5649C25D" w14:textId="1EB1A5A6" w:rsidR="00860EAE" w:rsidRPr="00D63FEB" w:rsidRDefault="008425BD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Wnioskodawca</w:t>
      </w:r>
      <w:r w:rsidR="00CC4CD4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="00860EAE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ma obowiązek wniesienia wkładu własnego w formie finansowej, </w:t>
      </w:r>
      <w:r w:rsidR="00860EAE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>w zadeklarowanej wysokości na pokrycie części kosztów kwalifikowalnych realizowan</w:t>
      </w:r>
      <w:r w:rsidR="00CC4CD4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ego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badania. </w:t>
      </w:r>
    </w:p>
    <w:p w14:paraId="66B258E7" w14:textId="3BF36F45" w:rsidR="00860EAE" w:rsidRPr="00D63FEB" w:rsidRDefault="00860EAE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Wkład własny:</w:t>
      </w:r>
    </w:p>
    <w:p w14:paraId="63097E11" w14:textId="77777777" w:rsidR="00860EA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powinien być skategory</w:t>
      </w:r>
      <w:r w:rsidR="008425BD" w:rsidRPr="00D63FEB">
        <w:rPr>
          <w:rFonts w:eastAsia="Franklin Gothic Medium" w:cstheme="minorHAnsi"/>
          <w:sz w:val="24"/>
          <w:szCs w:val="24"/>
        </w:rPr>
        <w:t>zowany i mieć charakter kosztów</w:t>
      </w:r>
      <w:r w:rsidRPr="00D63FEB">
        <w:rPr>
          <w:rFonts w:eastAsia="Franklin Gothic Medium" w:cstheme="minorHAnsi"/>
          <w:sz w:val="24"/>
          <w:szCs w:val="24"/>
        </w:rPr>
        <w:t xml:space="preserve"> kwalifikow</w:t>
      </w:r>
      <w:r w:rsidR="002E36AC" w:rsidRPr="00D63FEB">
        <w:rPr>
          <w:rFonts w:eastAsia="Franklin Gothic Medium" w:cstheme="minorHAnsi"/>
          <w:sz w:val="24"/>
          <w:szCs w:val="24"/>
        </w:rPr>
        <w:t>alnych zgodnie z przewodnikiem kwalifikowalności k</w:t>
      </w:r>
      <w:r w:rsidRPr="00D63FEB">
        <w:rPr>
          <w:rFonts w:eastAsia="Franklin Gothic Medium" w:cstheme="minorHAnsi"/>
          <w:sz w:val="24"/>
          <w:szCs w:val="24"/>
        </w:rPr>
        <w:t>osztów,</w:t>
      </w:r>
    </w:p>
    <w:p w14:paraId="7E363E72" w14:textId="77777777" w:rsidR="00860EA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 xml:space="preserve">podlega ocenie merytorycznej pod kątem zasadności wniesienia do </w:t>
      </w:r>
      <w:r w:rsidR="00422AF6" w:rsidRPr="00D63FEB">
        <w:rPr>
          <w:rFonts w:eastAsia="Franklin Gothic Medium" w:cstheme="minorHAnsi"/>
          <w:sz w:val="24"/>
          <w:szCs w:val="24"/>
        </w:rPr>
        <w:t>badania</w:t>
      </w:r>
      <w:r w:rsidRPr="00D63FEB">
        <w:rPr>
          <w:rFonts w:eastAsia="Franklin Gothic Medium" w:cstheme="minorHAnsi"/>
          <w:sz w:val="24"/>
          <w:szCs w:val="24"/>
        </w:rPr>
        <w:t>,</w:t>
      </w:r>
    </w:p>
    <w:p w14:paraId="02068751" w14:textId="0A96BA42" w:rsidR="00FE1AF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podlega ocenie finansowej pod względem prawidłowości, rzetelności i wiarygodności przeprowadzonej wyceny.</w:t>
      </w:r>
    </w:p>
    <w:sectPr w:rsidR="00FE1AFE" w:rsidRPr="00D63FEB" w:rsidSect="00D63FE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8AE9" w14:textId="77777777" w:rsidR="006F67AD" w:rsidRDefault="006F67AD" w:rsidP="00D2214E">
      <w:pPr>
        <w:spacing w:after="0" w:line="240" w:lineRule="auto"/>
      </w:pPr>
      <w:r>
        <w:separator/>
      </w:r>
    </w:p>
  </w:endnote>
  <w:endnote w:type="continuationSeparator" w:id="0">
    <w:p w14:paraId="5D4F3806" w14:textId="77777777" w:rsidR="006F67AD" w:rsidRDefault="006F67AD" w:rsidP="00D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6301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267B6EE" w14:textId="3CC62509" w:rsidR="00D63FEB" w:rsidRPr="00D63FEB" w:rsidRDefault="00D63FEB">
        <w:pPr>
          <w:pStyle w:val="Stopka"/>
          <w:jc w:val="right"/>
          <w:rPr>
            <w:sz w:val="20"/>
          </w:rPr>
        </w:pPr>
        <w:r w:rsidRPr="00D63FEB">
          <w:rPr>
            <w:sz w:val="20"/>
          </w:rPr>
          <w:fldChar w:fldCharType="begin"/>
        </w:r>
        <w:r w:rsidRPr="00D63FEB">
          <w:rPr>
            <w:sz w:val="20"/>
          </w:rPr>
          <w:instrText>PAGE   \* MERGEFORMAT</w:instrText>
        </w:r>
        <w:r w:rsidRPr="00D63FEB">
          <w:rPr>
            <w:sz w:val="20"/>
          </w:rPr>
          <w:fldChar w:fldCharType="separate"/>
        </w:r>
        <w:r w:rsidRPr="00D63FEB">
          <w:rPr>
            <w:sz w:val="20"/>
          </w:rPr>
          <w:t>2</w:t>
        </w:r>
        <w:r w:rsidRPr="00D63FEB">
          <w:rPr>
            <w:sz w:val="20"/>
          </w:rPr>
          <w:fldChar w:fldCharType="end"/>
        </w:r>
      </w:p>
    </w:sdtContent>
  </w:sdt>
  <w:p w14:paraId="7860FF30" w14:textId="516608AD" w:rsidR="005C4AD0" w:rsidRPr="00561C89" w:rsidRDefault="005C4AD0" w:rsidP="00561C89">
    <w:pPr>
      <w:pStyle w:val="Stopka"/>
      <w:tabs>
        <w:tab w:val="left" w:pos="404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C89D" w14:textId="77777777" w:rsidR="006F67AD" w:rsidRDefault="006F67AD" w:rsidP="00D2214E">
      <w:pPr>
        <w:spacing w:after="0" w:line="240" w:lineRule="auto"/>
      </w:pPr>
      <w:r>
        <w:separator/>
      </w:r>
    </w:p>
  </w:footnote>
  <w:footnote w:type="continuationSeparator" w:id="0">
    <w:p w14:paraId="7E2E47E2" w14:textId="77777777" w:rsidR="006F67AD" w:rsidRDefault="006F67AD" w:rsidP="00D2214E">
      <w:pPr>
        <w:spacing w:after="0" w:line="240" w:lineRule="auto"/>
      </w:pPr>
      <w:r>
        <w:continuationSeparator/>
      </w:r>
    </w:p>
  </w:footnote>
  <w:footnote w:id="1">
    <w:p w14:paraId="02B08FCA" w14:textId="77777777" w:rsidR="00D2214E" w:rsidRPr="00CE0151" w:rsidRDefault="00D2214E" w:rsidP="00D2214E">
      <w:pPr>
        <w:pStyle w:val="Tekstprzypisudolnego"/>
        <w:jc w:val="both"/>
        <w:rPr>
          <w:rFonts w:asciiTheme="majorHAnsi" w:hAnsiTheme="majorHAnsi" w:cstheme="majorHAnsi"/>
        </w:rPr>
      </w:pPr>
      <w:r w:rsidRPr="00CE0151">
        <w:rPr>
          <w:rStyle w:val="Odwoanieprzypisudolnego"/>
          <w:rFonts w:asciiTheme="majorHAnsi" w:hAnsiTheme="majorHAnsi" w:cstheme="majorHAnsi"/>
        </w:rPr>
        <w:footnoteRef/>
      </w:r>
      <w:r w:rsidRPr="00CA4728">
        <w:rPr>
          <w:rFonts w:ascii="Times New Roman" w:hAnsi="Times New Roman" w:cs="Times New Roman"/>
          <w:sz w:val="18"/>
        </w:rPr>
        <w:t>Instytucja kultury – teatr, kino, muzeum, skansen, obiekt wpisany na listę dziedzictwa narodowego i światowego UNESCO.</w:t>
      </w:r>
      <w:r w:rsidRPr="00CA4728">
        <w:rPr>
          <w:rFonts w:asciiTheme="majorHAnsi" w:hAnsiTheme="majorHAnsi" w:cstheme="majorHAns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4B8"/>
    <w:multiLevelType w:val="hybridMultilevel"/>
    <w:tmpl w:val="1AD6E9D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8314C"/>
    <w:multiLevelType w:val="hybridMultilevel"/>
    <w:tmpl w:val="23D89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80F"/>
    <w:multiLevelType w:val="hybridMultilevel"/>
    <w:tmpl w:val="332EEE34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48554F4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92EBD"/>
    <w:multiLevelType w:val="hybridMultilevel"/>
    <w:tmpl w:val="7DEC63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CB7577"/>
    <w:multiLevelType w:val="hybridMultilevel"/>
    <w:tmpl w:val="9F24979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7525"/>
    <w:multiLevelType w:val="hybridMultilevel"/>
    <w:tmpl w:val="375C56E6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9B"/>
    <w:multiLevelType w:val="hybridMultilevel"/>
    <w:tmpl w:val="C2920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2420F5"/>
    <w:multiLevelType w:val="hybridMultilevel"/>
    <w:tmpl w:val="3212601E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572B"/>
    <w:multiLevelType w:val="hybridMultilevel"/>
    <w:tmpl w:val="7DA82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4D1"/>
    <w:multiLevelType w:val="hybridMultilevel"/>
    <w:tmpl w:val="73F86A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E21C14"/>
    <w:multiLevelType w:val="hybridMultilevel"/>
    <w:tmpl w:val="CA92D3F2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E6B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40069"/>
    <w:multiLevelType w:val="hybridMultilevel"/>
    <w:tmpl w:val="EAA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154"/>
    <w:multiLevelType w:val="hybridMultilevel"/>
    <w:tmpl w:val="54C0A25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9A31A0"/>
    <w:multiLevelType w:val="hybridMultilevel"/>
    <w:tmpl w:val="D91ECC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742A32"/>
    <w:multiLevelType w:val="hybridMultilevel"/>
    <w:tmpl w:val="0E0EA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71DE"/>
    <w:multiLevelType w:val="hybridMultilevel"/>
    <w:tmpl w:val="579E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1FD6"/>
    <w:multiLevelType w:val="hybridMultilevel"/>
    <w:tmpl w:val="04AEE3BA"/>
    <w:lvl w:ilvl="0" w:tplc="CAD847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5871233"/>
    <w:multiLevelType w:val="hybridMultilevel"/>
    <w:tmpl w:val="576C5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93C71"/>
    <w:multiLevelType w:val="hybridMultilevel"/>
    <w:tmpl w:val="16588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D74F5"/>
    <w:multiLevelType w:val="hybridMultilevel"/>
    <w:tmpl w:val="18A252B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926B11"/>
    <w:multiLevelType w:val="hybridMultilevel"/>
    <w:tmpl w:val="76CCEF0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AC8"/>
    <w:multiLevelType w:val="hybridMultilevel"/>
    <w:tmpl w:val="A5E24EA8"/>
    <w:lvl w:ilvl="0" w:tplc="4718BB86">
      <w:start w:val="1"/>
      <w:numFmt w:val="upperRoman"/>
      <w:pStyle w:val="Styl1"/>
      <w:lvlText w:val="%1."/>
      <w:lvlJc w:val="right"/>
      <w:pPr>
        <w:ind w:left="720" w:hanging="360"/>
      </w:pPr>
    </w:lvl>
    <w:lvl w:ilvl="1" w:tplc="E244F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670B"/>
    <w:multiLevelType w:val="hybridMultilevel"/>
    <w:tmpl w:val="A614D9D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810033"/>
    <w:multiLevelType w:val="hybridMultilevel"/>
    <w:tmpl w:val="818E9B9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CAD847E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DB9281C"/>
    <w:multiLevelType w:val="hybridMultilevel"/>
    <w:tmpl w:val="D82ED5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1572"/>
    <w:multiLevelType w:val="hybridMultilevel"/>
    <w:tmpl w:val="D5E6809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4B93"/>
    <w:multiLevelType w:val="hybridMultilevel"/>
    <w:tmpl w:val="EC367AB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42A1B"/>
    <w:multiLevelType w:val="hybridMultilevel"/>
    <w:tmpl w:val="28C8D5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097AA5"/>
    <w:multiLevelType w:val="hybridMultilevel"/>
    <w:tmpl w:val="AE7C7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75AF1"/>
    <w:multiLevelType w:val="hybridMultilevel"/>
    <w:tmpl w:val="D7EE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11B4"/>
    <w:multiLevelType w:val="hybridMultilevel"/>
    <w:tmpl w:val="0A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2EC4"/>
    <w:multiLevelType w:val="hybridMultilevel"/>
    <w:tmpl w:val="C88EAB82"/>
    <w:lvl w:ilvl="0" w:tplc="3648E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98083E"/>
    <w:multiLevelType w:val="hybridMultilevel"/>
    <w:tmpl w:val="84EE306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7"/>
  </w:num>
  <w:num w:numId="4">
    <w:abstractNumId w:val="7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3"/>
  </w:num>
  <w:num w:numId="10">
    <w:abstractNumId w:val="33"/>
  </w:num>
  <w:num w:numId="11">
    <w:abstractNumId w:val="2"/>
  </w:num>
  <w:num w:numId="12">
    <w:abstractNumId w:val="1"/>
  </w:num>
  <w:num w:numId="13">
    <w:abstractNumId w:val="9"/>
  </w:num>
  <w:num w:numId="14">
    <w:abstractNumId w:val="31"/>
  </w:num>
  <w:num w:numId="15">
    <w:abstractNumId w:val="4"/>
  </w:num>
  <w:num w:numId="16">
    <w:abstractNumId w:val="17"/>
  </w:num>
  <w:num w:numId="17">
    <w:abstractNumId w:val="32"/>
  </w:num>
  <w:num w:numId="18">
    <w:abstractNumId w:val="28"/>
  </w:num>
  <w:num w:numId="19">
    <w:abstractNumId w:val="21"/>
  </w:num>
  <w:num w:numId="20">
    <w:abstractNumId w:val="5"/>
  </w:num>
  <w:num w:numId="21">
    <w:abstractNumId w:val="6"/>
  </w:num>
  <w:num w:numId="22">
    <w:abstractNumId w:val="0"/>
  </w:num>
  <w:num w:numId="23">
    <w:abstractNumId w:val="16"/>
  </w:num>
  <w:num w:numId="24">
    <w:abstractNumId w:val="15"/>
  </w:num>
  <w:num w:numId="25">
    <w:abstractNumId w:val="26"/>
  </w:num>
  <w:num w:numId="26">
    <w:abstractNumId w:val="23"/>
  </w:num>
  <w:num w:numId="27">
    <w:abstractNumId w:val="25"/>
  </w:num>
  <w:num w:numId="28">
    <w:abstractNumId w:val="18"/>
  </w:num>
  <w:num w:numId="29">
    <w:abstractNumId w:val="20"/>
  </w:num>
  <w:num w:numId="30">
    <w:abstractNumId w:val="30"/>
  </w:num>
  <w:num w:numId="31">
    <w:abstractNumId w:val="11"/>
  </w:num>
  <w:num w:numId="32">
    <w:abstractNumId w:val="8"/>
  </w:num>
  <w:num w:numId="33">
    <w:abstractNumId w:val="10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0023BA"/>
    <w:rsid w:val="00086AA3"/>
    <w:rsid w:val="000A7A58"/>
    <w:rsid w:val="000C3115"/>
    <w:rsid w:val="0010327D"/>
    <w:rsid w:val="001055CD"/>
    <w:rsid w:val="00132048"/>
    <w:rsid w:val="001603BA"/>
    <w:rsid w:val="001C7C4F"/>
    <w:rsid w:val="0024357E"/>
    <w:rsid w:val="002B0962"/>
    <w:rsid w:val="002E1051"/>
    <w:rsid w:val="002E36AC"/>
    <w:rsid w:val="00322C2A"/>
    <w:rsid w:val="00350595"/>
    <w:rsid w:val="00354461"/>
    <w:rsid w:val="003630BD"/>
    <w:rsid w:val="00377198"/>
    <w:rsid w:val="003A52FA"/>
    <w:rsid w:val="00417B57"/>
    <w:rsid w:val="00422AF6"/>
    <w:rsid w:val="004A1835"/>
    <w:rsid w:val="00561C89"/>
    <w:rsid w:val="00563A91"/>
    <w:rsid w:val="005A1BE1"/>
    <w:rsid w:val="005C4AD0"/>
    <w:rsid w:val="005D7721"/>
    <w:rsid w:val="005F40CE"/>
    <w:rsid w:val="00636057"/>
    <w:rsid w:val="006479BA"/>
    <w:rsid w:val="00657665"/>
    <w:rsid w:val="00663643"/>
    <w:rsid w:val="0068781E"/>
    <w:rsid w:val="006F67AD"/>
    <w:rsid w:val="00723A5C"/>
    <w:rsid w:val="007F0FEB"/>
    <w:rsid w:val="00813BB3"/>
    <w:rsid w:val="00815B99"/>
    <w:rsid w:val="0082371D"/>
    <w:rsid w:val="008425BD"/>
    <w:rsid w:val="00860EAE"/>
    <w:rsid w:val="008E740D"/>
    <w:rsid w:val="00977969"/>
    <w:rsid w:val="009A5122"/>
    <w:rsid w:val="009A5698"/>
    <w:rsid w:val="009C7825"/>
    <w:rsid w:val="009E275E"/>
    <w:rsid w:val="00A04478"/>
    <w:rsid w:val="00A70A78"/>
    <w:rsid w:val="00AA0CDC"/>
    <w:rsid w:val="00AF2196"/>
    <w:rsid w:val="00B97211"/>
    <w:rsid w:val="00C05AF6"/>
    <w:rsid w:val="00C60B96"/>
    <w:rsid w:val="00CA2A13"/>
    <w:rsid w:val="00CA4728"/>
    <w:rsid w:val="00CC4CD4"/>
    <w:rsid w:val="00CD68DB"/>
    <w:rsid w:val="00CE0151"/>
    <w:rsid w:val="00D2214E"/>
    <w:rsid w:val="00D44F7F"/>
    <w:rsid w:val="00D63FEB"/>
    <w:rsid w:val="00D70E60"/>
    <w:rsid w:val="00D9507B"/>
    <w:rsid w:val="00DD5540"/>
    <w:rsid w:val="00E1687A"/>
    <w:rsid w:val="00E40896"/>
    <w:rsid w:val="00E43E76"/>
    <w:rsid w:val="00E6102E"/>
    <w:rsid w:val="00E738FD"/>
    <w:rsid w:val="00E856F7"/>
    <w:rsid w:val="00EA0EB1"/>
    <w:rsid w:val="00FB6CA5"/>
    <w:rsid w:val="00FE1AF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D45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75E"/>
  </w:style>
  <w:style w:type="paragraph" w:styleId="Nagwek1">
    <w:name w:val="heading 1"/>
    <w:basedOn w:val="Normalny"/>
    <w:next w:val="Normalny"/>
    <w:link w:val="Nagwek1Znak"/>
    <w:uiPriority w:val="9"/>
    <w:qFormat/>
    <w:rsid w:val="0010327D"/>
    <w:pPr>
      <w:spacing w:line="240" w:lineRule="auto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A58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7A58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D0"/>
  </w:style>
  <w:style w:type="paragraph" w:styleId="Stopka">
    <w:name w:val="footer"/>
    <w:basedOn w:val="Normalny"/>
    <w:link w:val="Stopka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D0"/>
  </w:style>
  <w:style w:type="paragraph" w:styleId="Tekstdymka">
    <w:name w:val="Balloon Text"/>
    <w:basedOn w:val="Normalny"/>
    <w:link w:val="TekstdymkaZnak"/>
    <w:uiPriority w:val="99"/>
    <w:semiHidden/>
    <w:unhideWhenUsed/>
    <w:rsid w:val="0024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5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CA4728"/>
    <w:pPr>
      <w:numPr>
        <w:numId w:val="26"/>
      </w:numPr>
      <w:autoSpaceDE w:val="0"/>
      <w:autoSpaceDN w:val="0"/>
      <w:adjustRightInd w:val="0"/>
      <w:spacing w:before="120" w:line="240" w:lineRule="auto"/>
      <w:ind w:left="714" w:hanging="357"/>
      <w:contextualSpacing w:val="0"/>
      <w:jc w:val="both"/>
    </w:pPr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CA4728"/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561C89"/>
  </w:style>
  <w:style w:type="character" w:customStyle="1" w:styleId="Nagwek1Znak">
    <w:name w:val="Nagłówek 1 Znak"/>
    <w:basedOn w:val="Domylnaczcionkaakapitu"/>
    <w:link w:val="Nagwek1"/>
    <w:uiPriority w:val="9"/>
    <w:rsid w:val="0010327D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3B93-24C9-4C7B-B816-DDBD8C0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Natallia Pamuła</dc:creator>
  <cp:lastModifiedBy>Tomasz Wojakowski</cp:lastModifiedBy>
  <cp:revision>3</cp:revision>
  <cp:lastPrinted>2019-03-18T12:46:00Z</cp:lastPrinted>
  <dcterms:created xsi:type="dcterms:W3CDTF">2019-04-23T10:11:00Z</dcterms:created>
  <dcterms:modified xsi:type="dcterms:W3CDTF">2019-04-24T08:53:00Z</dcterms:modified>
</cp:coreProperties>
</file>